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生物无机化学"/>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血红蛋白和肌红蛋白的生理功能是什么</w:t>
      </w:r>
      <w:r>
        <w:rPr>
          <w:rFonts w:hint="eastAsia" w:ascii="Times New Roman" w:hAnsi="Times New Roman" w:eastAsia="Times New Roman" w:cs="Times New Roman"/>
        </w:rPr>
        <w:t>？</w:t>
      </w:r>
      <w:r>
        <w:rPr>
          <w:rFonts w:hint="eastAsia" w:ascii="Times New Roman" w:hAnsi="Times New Roman" w:eastAsia="FangSong" w:cs="Times New Roman"/>
        </w:rPr>
        <w:t>在结构上有何异同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生物无机化学-1"/>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锌离子在羧肽酶中起什么作用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竞赛提升"/>
    <w:p>
      <w:pPr>
        <w:pStyle w:val="Heading2"/>
        <w:spacing w:before="280" w:after="120"/>
      </w:pPr>
      <w:r>
        <w:rPr>
          <w:rFonts w:hint="eastAsia" w:ascii="Times New Roman" w:hAnsi="Times New Roman" w:eastAsia="SimHei" w:cs="Times New Roman"/>
        </w:rPr>
        <w:t xml:space="preserve">竞赛提升</w:t>
      </w:r>
    </w:p>
    <w:bookmarkEnd w:id="13"/>
    <w:bookmarkStart w:id="14" w:name="生物无机化学-2"/>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生物无机化学-3"/>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 xml:space="preserve">生物无机化学</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分子轨道理论"/>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 xml:space="preserve">分子轨道理论</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分子轨道理论-1"/>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原子轨道"/>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原子轨道</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0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电离能"/>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电离能</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分子轨道理论-2"/>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4" w:name="分子轨道理论-3"/>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05"/>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05"/>
        </w:numPr>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22" name="Picture"/>
            <a:graphic>
              <a:graphicData uri="http://schemas.openxmlformats.org/drawingml/2006/picture">
                <pic:pic>
                  <pic:nvPicPr>
                    <pic:cNvPr descr="6fcaf06e364d399f461840182befe7498fc6e61344f618540022b196d575fb33.jpg" id="23" name="Picture"/>
                    <pic:cNvPicPr>
                      <a:picLocks noChangeArrowheads="1" noChangeAspect="1"/>
                    </pic:cNvPicPr>
                  </pic:nvPicPr>
                  <pic:blipFill>
                    <a:blip r:embed="rId21"/>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分子的对称性判断"/>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F—N—O, (2) N—S—F, (3) H—N—C—N—H, (4) H—N—C—O,</w:t>
      </w:r>
    </w:p>
    <w:p>
      <w:pPr>
        <w:numPr>
          <w:ilvl w:val="0"/>
          <w:numId w:val="100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对映异构"/>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 xml:space="preserve">对映异构</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分子的对称性判断-1"/>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原子轨道-1"/>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P</m:t>
        </m:r>
        <m:r>
          <m:t>t</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B</m:t>
        </m:r>
        <m:r>
          <m:t>e</m:t>
        </m:r>
        <m:sSubSup>
          <m:e>
            <m:r>
              <m:t>F</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t>S</m:t>
        </m:r>
        <m:r>
          <m:t>b</m:t>
        </m:r>
        <m:sSubSup>
          <m:e>
            <m: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t>S</m:t>
        </m:r>
        <m:sSubSup>
          <m:e>
            <m:r>
              <m:t>F</m:t>
            </m:r>
          </m:e>
          <m:sub>
            <m:r>
              <m:t>4</m:t>
            </m:r>
          </m:sub>
          <m:sup>
            <m:r>
              <m:rPr>
                <m:sty m:val="p"/>
              </m:rPr>
              <m:t>−</m:t>
            </m:r>
          </m:sup>
        </m:sSub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分子的对称性判断-2"/>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分子的对称性判断</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80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w:t>
      </w:r>
      <m:oMath>
        <m:sSub>
          <m:e>
            <m:r>
              <m:t>C</m:t>
            </m:r>
          </m:e>
          <m:sub>
            <m:r>
              <m:t>80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钙钛矿结构"/>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钙钛矿结构</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电子规则"/>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1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bragg方程"/>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原子坐标参数"/>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原子坐标参数</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r>
              <m:rPr>
                <m:sty m:val="p"/>
              </m:rPr>
              <m:t>−</m:t>
            </m:r>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密堆积"/>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1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17"/>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六方密堆积"/>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六方密堆积</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18"/>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19"/>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对称元素"/>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 xml:space="preserve">对称元素</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原子坐标参数-1"/>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 xml:space="preserve">原子坐标参数</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nias型结构"/>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钙钛矿"/>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End w:id="4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2026-09-20T15:23:08Z</dcterms:created>
  <dcterms:modified xsi:type="dcterms:W3CDTF">2026-09-20T15:23:08Z</dcterms:modified>
</cp:coreProperties>
</file>

<file path=docProps/custom.xml><?xml version="1.0" encoding="utf-8"?>
<Properties xmlns="http://schemas.openxmlformats.org/officeDocument/2006/custom-properties" xmlns:vt="http://schemas.openxmlformats.org/officeDocument/2006/docPropsVTypes"/>
</file>