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84"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88178" cy="1310400"/>
            <wp:effectExtent b="0" l="0" r="0" t="0"/>
            <wp:docPr descr="" title="" id="10" name="Picture"/>
            <a:graphic>
              <a:graphicData uri="http://schemas.openxmlformats.org/drawingml/2006/picture">
                <pic:pic>
                  <pic:nvPicPr>
                    <pic:cNvPr descr="a878441805360104.png" id="11" name="Picture"/>
                    <pic:cNvPicPr>
                      <a:picLocks noChangeArrowheads="1" noChangeAspect="1"/>
                    </pic:cNvPicPr>
                  </pic:nvPicPr>
                  <pic:blipFill>
                    <a:blip r:embed="rId9"/>
                    <a:stretch>
                      <a:fillRect/>
                    </a:stretch>
                  </pic:blipFill>
                  <pic:spPr bwMode="auto">
                    <a:xfrm>
                      <a:off x="0" y="0"/>
                      <a:ext cx="3288178" cy="131040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spacing w:before="0" w:after="0"/>
      </w:pPr>
    </w:p>
    <w:p>
      <w:pPr>
        <w:spacing w:before="0" w:after="0"/>
      </w:pP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571731" cy="2743547"/>
            <wp:effectExtent b="0" l="0" r="0" t="0"/>
            <wp:docPr descr="" title="" id="15" name="Picture"/>
            <a:graphic>
              <a:graphicData uri="http://schemas.openxmlformats.org/drawingml/2006/picture">
                <pic:pic>
                  <pic:nvPicPr>
                    <pic:cNvPr descr="redox-titration-curve.png" id="16" name="Picture"/>
                    <pic:cNvPicPr>
                      <a:picLocks noChangeArrowheads="1" noChangeAspect="1"/>
                    </pic:cNvPicPr>
                  </pic:nvPicPr>
                  <pic:blipFill>
                    <a:blip r:embed="rId14"/>
                    <a:stretch>
                      <a:fillRect/>
                    </a:stretch>
                  </pic:blipFill>
                  <pic:spPr bwMode="auto">
                    <a:xfrm>
                      <a:off x="0" y="0"/>
                      <a:ext cx="3571731" cy="274354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3"/>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79645"/>
            <wp:effectExtent b="0" l="0" r="0" t="0"/>
            <wp:docPr descr="" title="" id="19" name="Picture"/>
            <a:graphic>
              <a:graphicData uri="http://schemas.openxmlformats.org/drawingml/2006/picture">
                <pic:pic>
                  <pic:nvPicPr>
                    <pic:cNvPr descr="galvanic-cell.jpg" id="20" name="Picture"/>
                    <pic:cNvPicPr>
                      <a:picLocks noChangeArrowheads="1" noChangeAspect="1"/>
                    </pic:cNvPicPr>
                  </pic:nvPicPr>
                  <pic:blipFill>
                    <a:blip r:embed="rId18"/>
                    <a:stretch>
                      <a:fillRect/>
                    </a:stretch>
                  </pic:blipFill>
                  <pic:spPr bwMode="auto">
                    <a:xfrm>
                      <a:off x="0" y="0"/>
                      <a:ext cx="3240000" cy="26796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79645"/>
            <wp:effectExtent b="0" l="0" r="0" t="0"/>
            <wp:docPr descr="" title="" id="22" name="Picture"/>
            <a:graphic>
              <a:graphicData uri="http://schemas.openxmlformats.org/drawingml/2006/picture">
                <pic:pic>
                  <pic:nvPicPr>
                    <pic:cNvPr descr="galvanic-cell.jpg" id="23" name="Picture"/>
                    <pic:cNvPicPr>
                      <a:picLocks noChangeArrowheads="1" noChangeAspect="1"/>
                    </pic:cNvPicPr>
                  </pic:nvPicPr>
                  <pic:blipFill>
                    <a:blip r:embed="rId18"/>
                    <a:stretch>
                      <a:fillRect/>
                    </a:stretch>
                  </pic:blipFill>
                  <pic:spPr bwMode="auto">
                    <a:xfrm>
                      <a:off x="0" y="0"/>
                      <a:ext cx="3240000" cy="26796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0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0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0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32" name="Picture"/>
            <a:graphic>
              <a:graphicData uri="http://schemas.openxmlformats.org/drawingml/2006/picture">
                <pic:pic>
                  <pic:nvPicPr>
                    <pic:cNvPr descr="841fee447c759dd4875061c75ce722e95b770e1e0f1557f90aff2326b67a0584.jpg" id="33" name="Picture"/>
                    <pic:cNvPicPr>
                      <a:picLocks noChangeArrowheads="1" noChangeAspect="1"/>
                    </pic:cNvPicPr>
                  </pic:nvPicPr>
                  <pic:blipFill>
                    <a:blip r:embed="rId31"/>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36" name="Picture"/>
            <a:graphic>
              <a:graphicData uri="http://schemas.openxmlformats.org/drawingml/2006/picture">
                <pic:pic>
                  <pic:nvPicPr>
                    <pic:cNvPr descr="8ac44a45964d213c519199151f471dee1594b73a1fd86c38132cbb416eee882a.jpg" id="37" name="Picture"/>
                    <pic:cNvPicPr>
                      <a:picLocks noChangeArrowheads="1" noChangeAspect="1"/>
                    </pic:cNvPicPr>
                  </pic:nvPicPr>
                  <pic:blipFill>
                    <a:blip r:embed="rId35"/>
                    <a:stretch>
                      <a:fillRect/>
                    </a:stretch>
                  </pic:blipFill>
                  <pic:spPr bwMode="auto">
                    <a:xfrm>
                      <a:off x="0" y="0"/>
                      <a:ext cx="2908300" cy="19345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本题分为两部分</w:t>
      </w:r>
      <w:r>
        <w:rPr>
          <w:rFonts w:hint="eastAsia" w:ascii="Times New Roman" w:hAnsi="Times New Roman" w:eastAsia="Times New Roman" w:cs="Times New Roman"/>
        </w:rPr>
        <w:t>：</w:t>
      </w:r>
      <w:r>
        <w:rPr>
          <w:rFonts w:hint="eastAsia" w:ascii="Times New Roman" w:hAnsi="Times New Roman" w:eastAsia="FangSong" w:cs="Times New Roman"/>
        </w:rPr>
        <w:t>第一部分涉及</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w:t>
      </w:r>
      <w:r>
        <w:rPr>
          <w:rFonts w:hint="eastAsia" w:ascii="Times New Roman" w:hAnsi="Times New Roman" w:eastAsia="Times New Roman" w:cs="Times New Roman"/>
        </w:rPr>
        <w:t>，</w:t>
      </w:r>
      <w:r>
        <w:rPr>
          <w:rFonts w:hint="eastAsia" w:ascii="Times New Roman" w:hAnsi="Times New Roman" w:eastAsia="FangSong" w:cs="Times New Roman"/>
        </w:rPr>
        <w:t>第二部分涉及</w:t>
      </w:r>
      <w:r>
        <w:rPr>
          <w:rFonts w:ascii="Times New Roman" w:hAnsi="Times New Roman" w:eastAsia="Times New Roman" w:cs="Times New Roman"/>
        </w:rPr>
        <w:t xml:space="preserve"> Wacker </w:t>
      </w:r>
      <w:r>
        <w:rPr>
          <w:rFonts w:hint="eastAsia" w:ascii="Times New Roman" w:hAnsi="Times New Roman" w:eastAsia="FangSong" w:cs="Times New Roman"/>
        </w:rPr>
        <w:t>法催化乙烯氧化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电解</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的溶度积和相关平衡进行分析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在溶液中水解的平衡常数</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pH </w:t>
      </w:r>
      <w:r>
        <w:rPr>
          <w:rFonts w:hint="eastAsia" w:ascii="Times New Roman" w:hAnsi="Times New Roman" w:eastAsia="FangSong" w:cs="Times New Roman"/>
        </w:rPr>
        <w:t>对电解的影响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：Wacker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法催化</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7-5（8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Wacker </w:t>
      </w:r>
      <w:r>
        <w:rPr>
          <w:rFonts w:hint="eastAsia" w:ascii="Times New Roman" w:hAnsi="Times New Roman" w:eastAsia="FangSong" w:cs="Times New Roman"/>
        </w:rPr>
        <w:t xml:space="preserve">法以</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将乙烯氧化为乙醛</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limUpp>
            <m:e>
              <m:r>
                <m:rPr>
                  <m:sty m:val="p"/>
                </m:rPr>
                <m:t>→</m:t>
              </m:r>
            </m:e>
            <m:lim>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lim>
          </m:limUpp>
          <m:r>
            <m:rPr>
              <m:sty m:val="p"/>
            </m:rPr>
            <m:t>C</m:t>
          </m:r>
          <m:sSub>
            <m:e>
              <m:r>
                <m:rPr>
                  <m:sty m:val="p"/>
                </m:rPr>
                <m:t>H</m:t>
              </m:r>
            </m:e>
            <m:sub>
              <m:r>
                <m:rPr>
                  <m:sty m:val="p"/>
                </m:rPr>
                <m:t>3</m:t>
              </m:r>
            </m:sub>
          </m:sSub>
          <m:r>
            <m:rPr>
              <m:sty m:val="p"/>
            </m:rPr>
            <m:t>C</m:t>
          </m:r>
          <m:r>
            <m:rPr>
              <m:sty m:val="p"/>
            </m:rPr>
            <m:t>H</m:t>
          </m:r>
          <m:r>
            <m:rPr>
              <m:sty m:val="p"/>
            </m:rPr>
            <m:t>O</m:t>
          </m:r>
        </m:oMath>
      </m:oMathPara>
    </w:p>
    <w:p>
      <w:pPr>
        <w:numPr>
          <w:ilvl w:val="0"/>
          <w:numId w:val="1011"/>
        </w:numPr>
      </w:pPr>
      <w:r>
        <w:rPr>
          <w:rFonts w:hint="eastAsia" w:ascii="Times New Roman" w:hAnsi="Times New Roman" w:eastAsia="FangSong" w:cs="Times New Roman"/>
        </w:rPr>
        <w:t xml:space="preserve">实验测得速率方程为</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P</m:t>
        </m:r>
        <m:sSup>
          <m:e>
            <m:r>
              <m:rPr>
                <m:sty m:val="p"/>
              </m:rPr>
              <m:t>d</m:t>
            </m:r>
          </m:e>
          <m:sup>
            <m:r>
              <m:rPr>
                <m:sty m:val="p"/>
              </m:rPr>
              <m:t>2</m:t>
            </m:r>
            <m:r>
              <m:rPr>
                <m:sty m:val="p"/>
              </m:rPr>
              <m:t>+</m:t>
            </m:r>
          </m:sup>
        </m:sSup>
        <m:sSup>
          <m:e>
            <m:r>
              <m:rPr>
                <m:sty m:val="p"/>
              </m:rPr>
              <m:t>]</m:t>
            </m:r>
          </m:e>
          <m:sup>
            <m:r>
              <m:t>x</m:t>
            </m:r>
          </m:sup>
        </m:sSup>
        <m:r>
          <m:rPr>
            <m:sty m:val="p"/>
          </m:rPr>
          <m:t>[</m:t>
        </m:r>
        <m:r>
          <m:rPr>
            <m:sty m:val="p"/>
          </m:rPr>
          <m:t>C</m:t>
        </m:r>
        <m:sSup>
          <m:e>
            <m:r>
              <m:rPr>
                <m:sty m:val="p"/>
              </m:rPr>
              <m:t>u</m:t>
            </m:r>
          </m:e>
          <m:sup>
            <m:r>
              <m:rPr>
                <m:sty m:val="p"/>
              </m:rPr>
              <m:t>2</m:t>
            </m:r>
            <m:r>
              <m:rPr>
                <m:sty m:val="p"/>
              </m:rPr>
              <m:t>+</m:t>
            </m:r>
          </m:sup>
        </m:sSup>
        <m:sSup>
          <m:e>
            <m:r>
              <m:rPr>
                <m:sty m:val="p"/>
              </m:rPr>
              <m:t>]</m:t>
            </m:r>
          </m:e>
          <m:sup>
            <m:r>
              <m:t>y</m:t>
            </m:r>
          </m:sup>
        </m:sSup>
        <m:r>
          <m:rPr>
            <m:sty m:val="p"/>
          </m:rPr>
          <m:t>[</m:t>
        </m:r>
        <m:r>
          <m:rPr>
            <m:sty m:val="p"/>
          </m:rPr>
          <m:t>C</m:t>
        </m:r>
        <m:sSup>
          <m:e>
            <m:r>
              <m:rPr>
                <m:sty m:val="p"/>
              </m:rPr>
              <m:t>l</m:t>
            </m:r>
          </m:e>
          <m:sup>
            <m:r>
              <m:rPr>
                <m:sty m:val="p"/>
              </m:rPr>
              <m:t>−</m:t>
            </m:r>
          </m:sup>
        </m:sSup>
        <m:sSup>
          <m:e>
            <m:r>
              <m:rPr>
                <m:sty m:val="p"/>
              </m:rPr>
              <m:t>]</m:t>
            </m:r>
          </m:e>
          <m:sup>
            <m:r>
              <m:t>z</m:t>
            </m:r>
          </m:sup>
        </m:sSup>
        <m:r>
          <m:rPr>
            <m:sty m:val="p"/>
          </m:rPr>
          <m:t>[</m:t>
        </m:r>
        <m:sSub>
          <m:e>
            <m:r>
              <m:rPr>
                <m:sty m:val="p"/>
              </m:rPr>
              <m:t>O</m:t>
            </m:r>
          </m:e>
          <m:sub>
            <m:r>
              <m:rPr>
                <m:sty m:val="p"/>
              </m:rPr>
              <m:t>2</m:t>
            </m:r>
          </m:sub>
        </m:sSub>
        <m:sSup>
          <m:e>
            <m:r>
              <m:rPr>
                <m:sty m:val="p"/>
              </m:rPr>
              <m:t>]</m:t>
            </m:r>
          </m:e>
          <m:sup>
            <m:r>
              <m:t>ω</m:t>
            </m:r>
          </m:sup>
        </m:sSup>
        <m:r>
          <m:rPr>
            <m:sty m:val="p"/>
          </m:rPr>
          <m:t>[</m:t>
        </m:r>
        <m:sSub>
          <m:e>
            <m:r>
              <m:rPr>
                <m:sty m:val="p"/>
              </m:rPr>
              <m:t>C</m:t>
            </m:r>
          </m:e>
          <m:sub>
            <m:r>
              <m:rPr>
                <m:sty m:val="p"/>
              </m:rPr>
              <m:t>2</m:t>
            </m:r>
          </m:sub>
        </m:sSub>
        <m:sSub>
          <m:e>
            <m:r>
              <m:rPr>
                <m:sty m:val="p"/>
              </m:rPr>
              <m:t>H</m:t>
            </m:r>
          </m:e>
          <m:sub>
            <m:r>
              <m:rPr>
                <m:sty m:val="p"/>
              </m:rPr>
              <m:t>4</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r>
          <m:rPr>
            <m:sty m:val="p"/>
          </m:rPr>
          <m:t>,</m:t>
        </m:r>
        <m:r>
          <m:t>z</m:t>
        </m:r>
        <m:r>
          <m:rPr>
            <m:sty m:val="p"/>
          </m:rPr>
          <m:t>=</m:t>
        </m:r>
        <m:r>
          <m:rPr>
            <m:sty m:val="p"/>
          </m:rPr>
          <m:t>−</m:t>
        </m:r>
        <m:r>
          <m:t>1</m:t>
        </m:r>
        <m:r>
          <m:rPr>
            <m:sty m:val="p"/>
          </m:rPr>
          <m:t>,</m:t>
        </m:r>
        <m:r>
          <m:t>ω</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写出完整速率方程并解释各指数的物理意义</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确定反应的决速步</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Wacker </w:t>
      </w:r>
      <w:r>
        <w:rPr>
          <w:rFonts w:hint="eastAsia" w:ascii="Times New Roman" w:hAnsi="Times New Roman" w:eastAsia="FangSong" w:cs="Times New Roman"/>
        </w:rPr>
        <w:t>法的立体化学选择性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在催化循环中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的物质的量之比对反应速率有何影响</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在催化循环中的作用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画出电化学合成氨的装置图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88"/>
            <wp:effectExtent b="0" l="0" r="0" t="0"/>
            <wp:docPr descr="" title="" id="49" name="Picture"/>
            <a:graphic>
              <a:graphicData uri="http://schemas.openxmlformats.org/drawingml/2006/picture">
                <pic:pic>
                  <pic:nvPicPr>
                    <pic:cNvPr descr="eb80a0d0b6a385994ee514b453538c75ecb0f35237459da1f225a1cafbe80ce8.jpg" id="50" name="Picture"/>
                    <pic:cNvPicPr>
                      <a:picLocks noChangeArrowheads="1" noChangeAspect="1"/>
                    </pic:cNvPicPr>
                  </pic:nvPicPr>
                  <pic:blipFill>
                    <a:blip r:embed="rId48"/>
                    <a:stretch>
                      <a:fillRect/>
                    </a:stretch>
                  </pic:blipFill>
                  <pic:spPr bwMode="auto">
                    <a:xfrm>
                      <a:off x="0" y="0"/>
                      <a:ext cx="3600000" cy="25171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电池是一种水系二次电池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作为潜在的储能系统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近年来重新受到关注</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电池正极为单质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负极为金属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当负极区的电解质仍为</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但正极区电解质变为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可调变电池正极的反应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对应的标准电极电势和放电容量均有显著变化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提高了该电池的储能密度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几组代表性的充放电实验数据总结于表</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一些氧化还原电对的标准电极电势和水合离子的标准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生成自由能变</w:t>
      </w:r>
      <w:r>
        <w:rPr>
          <w:rFonts w:ascii="Times New Roman" w:hAnsi="Times New Roman" w:eastAsia="Times New Roman" w:cs="Times New Roman"/>
        </w:rPr>
        <w:t xml:space="preserve"> </w:t>
      </w:r>
      <m:oMath>
        <m:r>
          <m:rPr>
            <m:sty m:val="p"/>
          </m:rPr>
          <m:t>Δ</m:t>
        </m:r>
        <m:r>
          <m:t>f</m:t>
        </m:r>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见表</w:t>
      </w:r>
      <w:r>
        <w:rPr>
          <w:rFonts w:ascii="Times New Roman" w:hAnsi="Times New Roman" w:eastAsia="Times New Roman" w:cs="Times New Roman"/>
        </w:rPr>
        <w:t xml:space="preserve"> 2。</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 I2 </w:t>
      </w:r>
      <w:r>
        <w:rPr>
          <w:rFonts w:hint="eastAsia" w:ascii="Times New Roman" w:hAnsi="Times New Roman" w:eastAsia="FangSong" w:cs="Times New Roman"/>
          <w:b w:val="0"/>
          <w:i w:val="0"/>
          <w:sz w:val="21"/>
        </w:rPr>
        <w:t xml:space="preserve">电极在不同的正极区电解质中充放电实验结果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电解质</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容量</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m</m:t>
              </m:r>
              <m:r>
                <m:t>A</m:t>
              </m:r>
              <m:r>
                <m:t>h</m:t>
              </m:r>
              <m:r>
                <m:rPr>
                  <m:sty m:val="p"/>
                </m:rPr>
                <m:t>(</m:t>
              </m:r>
              <m:r>
                <m:t>g</m:t>
              </m:r>
              <m:r>
                <m:rPr>
                  <m:sty m:val="p"/>
                </m:rPr>
                <m:t>·</m:t>
              </m:r>
              <m:sSub>
                <m:e>
                  <m:r>
                    <m:t>I</m:t>
                  </m:r>
                </m:e>
                <m:sub>
                  <m:r>
                    <m:t>2</m:t>
                  </m:r>
                </m:sub>
              </m:sSub>
              <m:sSup>
                <m:e>
                  <m:r>
                    <m:rPr>
                      <m:sty m:val="p"/>
                    </m:rPr>
                    <m:t>)</m:t>
                  </m:r>
                </m:e>
                <m:sup>
                  <m:r>
                    <m:rPr>
                      <m:sty m:val="p"/>
                    </m:rPr>
                    <m:t>−</m:t>
                  </m:r>
                  <m:r>
                    <m:t>1</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Z</m:t>
              </m:r>
              <m:r>
                <m:t>n</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+0.536</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u</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充电</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182</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 xml:space="preserve">可能用到的一些热力学数据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氧化还原电对</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 xml:space="preserve">水合离子</w:t>
            </w:r>
          </w:p>
        </w:tc>
        <w:tc>
          <w:tcPr/>
          <w:p>
            <w:pPr>
              <w:pStyle w:val="Compact"/>
              <w:jc w:val="center"/>
            </w:pPr>
            <m:oMath>
              <m:sSub>
                <m:e>
                  <m:r>
                    <m:rPr>
                      <m:sty m:val="p"/>
                    </m:rPr>
                    <m:t>Δ</m:t>
                  </m:r>
                </m:e>
                <m:sub>
                  <m:r>
                    <m:t>f</m:t>
                  </m:r>
                </m:sub>
              </m:sSub>
              <m:sSubSup>
                <m:e>
                  <m:r>
                    <m:t>G</m:t>
                  </m:r>
                </m:e>
                <m:sub>
                  <m:r>
                    <m:t>m</m:t>
                  </m:r>
                </m:sub>
                <m:sup>
                  <m:r>
                    <m:t>θ</m:t>
                  </m:r>
                </m:sup>
              </m:sSubSup>
              <m:r>
                <m:rPr>
                  <m:sty m:val="p"/>
                </m:rPr>
                <m:t>/</m:t>
              </m:r>
              <m:r>
                <m:t>k</m:t>
              </m:r>
              <m:r>
                <m:t>J</m:t>
              </m:r>
              <m:r>
                <m:t>m</m:t>
              </m:r>
              <m:r>
                <m:t>o</m:t>
              </m:r>
              <m:sSup>
                <m:e>
                  <m:r>
                    <m:t>l</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m:oMath>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-0.762</w:t>
            </w:r>
          </w:p>
        </w:tc>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65.5</w:t>
            </w:r>
          </w:p>
        </w:tc>
      </w:tr>
      <w:tr>
        <w:tc>
          <w:tcPr/>
          <w:p>
            <w:pPr>
              <w:pStyle w:val="Compact"/>
              <w:jc w:val="center"/>
            </w:pP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+0.536</w:t>
            </w:r>
          </w:p>
        </w:tc>
        <w:tc>
          <w:tcPr/>
          <w:p>
            <w:pPr>
              <w:pStyle w:val="Compact"/>
              <w:jc w:val="center"/>
            </w:pPr>
            <m:oMath>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+0.159</w:t>
            </w:r>
          </w:p>
        </w:tc>
        <w:tc>
          <w:tcPr/>
          <w:p>
            <w:pPr>
              <w:pStyle w:val="Compact"/>
              <w:jc w:val="center"/>
            </w:pPr>
            <m:oMath>
              <m:r>
                <m:t>Z</m:t>
              </m:r>
              <m:sSup>
                <m:e>
                  <m:r>
                    <m:t>n</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-147.1</w:t>
            </w:r>
          </w:p>
        </w:tc>
      </w:tr>
      <w:tr>
        <w:tc>
          <w:tcPr/>
          <w:p>
            <w:pPr>
              <w:pStyle w:val="Compact"/>
              <w:jc w:val="center"/>
            </w:pPr>
            <m:oMath>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+0.340</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-131.2</w:t>
            </w:r>
          </w:p>
        </w:tc>
      </w:tr>
      <w:tr>
        <w:tc>
          <w:tcPr/>
          <w:p>
            <w:pPr>
              <w:pStyle w:val="Compact"/>
              <w:jc w:val="center"/>
            </w:pPr>
          </w:p>
        </w:tc>
        <w:tc>
          <w:tcPr/>
          <w:p>
            <w:pPr>
              <w:pStyle w:val="Compact"/>
              <w:jc w:val="center"/>
            </w:pPr>
          </w:p>
        </w:tc>
        <w:tc>
          <w:tcPr/>
          <w:p>
            <w:pPr>
              <w:pStyle w:val="Compact"/>
              <w:jc w:val="center"/>
            </w:pPr>
            <m:oMath>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-51.6</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写出实验</w:t>
      </w:r>
      <w:r>
        <w:rPr>
          <w:rFonts w:ascii="Times New Roman" w:hAnsi="Times New Roman" w:eastAsia="Times New Roman" w:cs="Times New Roman"/>
        </w:rPr>
        <w:t xml:space="preserve"> 1~4 </w:t>
      </w:r>
      <w:r>
        <w:rPr>
          <w:rFonts w:hint="eastAsia" w:ascii="Times New Roman" w:hAnsi="Times New Roman" w:eastAsia="FangSong" w:cs="Times New Roman"/>
        </w:rPr>
        <w:t>对应的正极区电极反应方程式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实验</w:t>
      </w:r>
      <w:r>
        <w:rPr>
          <w:rFonts w:hint="eastAsia" w:ascii="Times New Roman" w:hAnsi="Times New Roman" w:eastAsia="Times New Roman" w:cs="Times New Roman"/>
        </w:rPr>
        <w:t>3</w:t>
      </w:r>
      <w:r>
        <w:rPr>
          <w:rFonts w:hint="eastAsia" w:ascii="Times New Roman" w:hAnsi="Times New Roman" w:eastAsia="FangSong" w:cs="Times New Roman"/>
        </w:rPr>
        <w:t>放电生成一种含碘难溶电解质</w:t>
      </w:r>
      <w:r>
        <w:rPr>
          <w:rFonts w:hint="eastAsia" w:ascii="Times New Roman" w:hAnsi="Times New Roman" w:eastAsia="Times New Roman" w:cs="Times New Roman"/>
        </w:rPr>
        <w:t>A，</w:t>
      </w:r>
      <w:r>
        <w:rPr>
          <w:rFonts w:hint="eastAsia" w:ascii="Times New Roman" w:hAnsi="Times New Roman" w:eastAsia="FangSong" w:cs="Times New Roman"/>
        </w:rPr>
        <w:t>实验</w:t>
      </w:r>
      <w:r>
        <w:rPr>
          <w:rFonts w:hint="eastAsia" w:ascii="Times New Roman" w:hAnsi="Times New Roman" w:eastAsia="Times New Roman" w:cs="Times New Roman"/>
        </w:rPr>
        <w:t>4</w:t>
      </w:r>
      <w:r>
        <w:rPr>
          <w:rFonts w:hint="eastAsia" w:ascii="Times New Roman" w:hAnsi="Times New Roman" w:eastAsia="FangSong" w:cs="Times New Roman"/>
        </w:rPr>
        <w:t>充电生成一种含碘化合物</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Gibbs </w:t>
      </w:r>
      <w:r>
        <w:rPr>
          <w:rFonts w:hint="eastAsia" w:ascii="Times New Roman" w:hAnsi="Times New Roman" w:eastAsia="FangSong" w:cs="Times New Roman"/>
        </w:rPr>
        <w:t>生成自由能变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假设电解质中的离子浓度均恒为标态</w:t>
      </w:r>
      <w:r>
        <w:rPr>
          <w:rFonts w:hint="eastAsia" w:ascii="Times New Roman" w:hAnsi="Times New Roman" w:eastAsia="Times New Roman" w:cs="Times New Roman"/>
        </w:rPr>
        <w:t>，</w:t>
      </w:r>
      <w:r>
        <w:rPr>
          <w:rFonts w:hint="eastAsia" w:ascii="Times New Roman" w:hAnsi="Times New Roman" w:eastAsia="FangSong" w:cs="Times New Roman"/>
        </w:rPr>
        <w:t>计算下列两种</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电池的储能密度</w:t>
      </w:r>
      <w:r>
        <w:rPr>
          <w:rFonts w:hint="eastAsia" w:ascii="Times New Roman" w:hAnsi="Times New Roman" w:eastAsia="Times New Roman" w:cs="Times New Roman"/>
        </w:rPr>
        <w:t>(</w:t>
      </w:r>
      <w:r>
        <w:rPr>
          <w:rFonts w:hint="eastAsia" w:ascii="Times New Roman" w:hAnsi="Times New Roman" w:eastAsia="FangSong" w:cs="Times New Roman"/>
        </w:rPr>
        <w:t>基于正负极的总质量</w:t>
      </w:r>
      <w:r>
        <w:rPr>
          <w:rFonts w:hint="eastAsia" w:ascii="Times New Roman" w:hAnsi="Times New Roman" w:eastAsia="Times New Roman" w:cs="Times New Roman"/>
        </w:rPr>
        <w:t>，</w:t>
      </w:r>
      <w:r>
        <w:rPr>
          <w:rFonts w:hint="eastAsia" w:ascii="Times New Roman" w:hAnsi="Times New Roman" w:eastAsia="FangSong" w:cs="Times New Roman"/>
        </w:rPr>
        <w:t>结果以</w:t>
      </w:r>
      <w:r>
        <w:rPr>
          <w:rFonts w:hint="eastAsia" w:ascii="Times New Roman" w:hAnsi="Times New Roman" w:eastAsia="Times New Roman" w:cs="Times New Roman"/>
        </w:rPr>
        <w:t>Wh/kg</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 xml:space="preserve">正负极均以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负极以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r>
        <w:rPr>
          <w:rFonts w:hint="eastAsia" w:ascii="Times New Roman" w:hAnsi="Times New Roman" w:eastAsia="FangSong" w:cs="Times New Roman"/>
        </w:rPr>
        <w:t>正极以</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4- 4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电池可表示为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Zn (s) |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(1.0 M)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M)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w:t>
      </w:r>
      <w:r>
        <w:rPr>
          <w:rFonts w:hint="eastAsia" w:ascii="Times New Roman" w:hAnsi="Times New Roman" w:eastAsia="FangSong" w:cs="Times New Roman"/>
        </w:rPr>
        <w:t xml:space="preserve">电池正极区和负极区电解质溶液量均为</w:t>
      </w:r>
      <w:r>
        <w:rPr>
          <w:rFonts w:ascii="Times New Roman" w:hAnsi="Times New Roman" w:eastAsia="Times New Roman" w:cs="Times New Roman"/>
        </w:rPr>
        <w:t xml:space="preserve"> 1.0 mL,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的量均为</w:t>
      </w:r>
      <w:r>
        <w:rPr>
          <w:rFonts w:ascii="Times New Roman" w:hAnsi="Times New Roman" w:eastAsia="Times New Roman" w:cs="Times New Roman"/>
        </w:rPr>
        <w:t xml:space="preserve"> 2.0 mmol,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200 mA </w:t>
      </w:r>
      <w:r>
        <w:rPr>
          <w:rFonts w:hint="eastAsia" w:ascii="Times New Roman" w:hAnsi="Times New Roman" w:eastAsia="FangSong" w:cs="Times New Roman"/>
        </w:rPr>
        <w:t xml:space="preserve">恒电流放电</w:t>
      </w:r>
      <w:r>
        <w:rPr>
          <w:rFonts w:ascii="Times New Roman" w:hAnsi="Times New Roman" w:eastAsia="Times New Roman" w:cs="Times New Roman"/>
        </w:rPr>
        <w:t xml:space="preserve"> 482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计算电池的电动势</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均可以作为不溶物处理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写出电化学合成氨的电极反应式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写出电化学合成氨的阳极和阴极反应式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56" name="Picture"/>
            <a:graphic>
              <a:graphicData uri="http://schemas.openxmlformats.org/drawingml/2006/picture">
                <pic:pic>
                  <pic:nvPicPr>
                    <pic:cNvPr descr="b90a70536a72511d53dfc251b1034a66547bff09586e27593981a0e0523f3458.jpg" id="57" name="Picture"/>
                    <pic:cNvPicPr>
                      <a:picLocks noChangeArrowheads="1" noChangeAspect="1"/>
                    </pic:cNvPicPr>
                  </pic:nvPicPr>
                  <pic:blipFill>
                    <a:blip r:embed="rId55"/>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13"/>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61" name="Picture"/>
            <a:graphic>
              <a:graphicData uri="http://schemas.openxmlformats.org/drawingml/2006/picture">
                <pic:pic>
                  <pic:nvPicPr>
                    <pic:cNvPr descr="052808623823ce0502690b3b8607d3704f9fb8530c3428fc07606257566d52f8.jpg" id="62" name="Picture"/>
                    <pic:cNvPicPr>
                      <a:picLocks noChangeArrowheads="1" noChangeAspect="1"/>
                    </pic:cNvPicPr>
                  </pic:nvPicPr>
                  <pic:blipFill>
                    <a:blip r:embed="rId60"/>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7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65" name="Picture"/>
            <a:graphic>
              <a:graphicData uri="http://schemas.openxmlformats.org/drawingml/2006/picture">
                <pic:pic>
                  <pic:nvPicPr>
                    <pic:cNvPr descr="585c87057fd0c14e21d406c911e3ec207ebdd0123990681ec90d1073ba36d56f.jpg" id="66" name="Picture"/>
                    <pic:cNvPicPr>
                      <a:picLocks noChangeArrowheads="1" noChangeAspect="1"/>
                    </pic:cNvPicPr>
                  </pic:nvPicPr>
                  <pic:blipFill>
                    <a:blip r:embed="rId64"/>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68" name="Picture"/>
            <a:graphic>
              <a:graphicData uri="http://schemas.openxmlformats.org/drawingml/2006/picture">
                <pic:pic>
                  <pic:nvPicPr>
                    <pic:cNvPr descr="881bf42ac01a113629e4c7494b27dfcc0affa457a3d8688cf89e929cd66aaf7d.jpg" id="69" name="Picture"/>
                    <pic:cNvPicPr>
                      <a:picLocks noChangeArrowheads="1" noChangeAspect="1"/>
                    </pic:cNvPicPr>
                  </pic:nvPicPr>
                  <pic:blipFill>
                    <a:blip r:embed="rId67"/>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72" name="Picture"/>
            <a:graphic>
              <a:graphicData uri="http://schemas.openxmlformats.org/drawingml/2006/picture">
                <pic:pic>
                  <pic:nvPicPr>
                    <pic:cNvPr descr="0501c4e10a812a61ef1cefde13ddbc141f70c658af54949be9d9e5cecd71079a.jpg" id="73" name="Picture"/>
                    <pic:cNvPicPr>
                      <a:picLocks noChangeArrowheads="1" noChangeAspect="1"/>
                    </pic:cNvPicPr>
                  </pic:nvPicPr>
                  <pic:blipFill>
                    <a:blip r:embed="rId71"/>
                    <a:stretch>
                      <a:fillRect/>
                    </a:stretch>
                  </pic:blipFill>
                  <pic:spPr bwMode="auto">
                    <a:xfrm>
                      <a:off x="0" y="0"/>
                      <a:ext cx="3595707" cy="1421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18"/>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19"/>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End w:id="84"/>
    <w:bookmarkEnd w:id="85"/>
    <w:sectPr>
      <w:headerReference w:type="default" r:id="rId72"/>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 · 氧化还原与电化学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60" Type="http://schemas.openxmlformats.org/officeDocument/2006/relationships/image" Target="media/rId60.jpg"/><Relationship Id="rId64" Type="http://schemas.openxmlformats.org/officeDocument/2006/relationships/image" Target="media/rId64.jpg"/><Relationship Id="rId31" Type="http://schemas.openxmlformats.org/officeDocument/2006/relationships/image" Target="media/rId31.jpg"/><Relationship Id="rId67" Type="http://schemas.openxmlformats.org/officeDocument/2006/relationships/image" Target="media/rId67.jpg"/><Relationship Id="rId35" Type="http://schemas.openxmlformats.org/officeDocument/2006/relationships/image" Target="media/rId35.jpg"/><Relationship Id="rId9" Type="http://schemas.openxmlformats.org/officeDocument/2006/relationships/image" Target="media/rId9.png"/><Relationship Id="rId55" Type="http://schemas.openxmlformats.org/officeDocument/2006/relationships/image" Target="media/rId55.jpg"/><Relationship Id="rId48" Type="http://schemas.openxmlformats.org/officeDocument/2006/relationships/image" Target="media/rId48.jpg"/><Relationship Id="rId18" Type="http://schemas.openxmlformats.org/officeDocument/2006/relationships/image" Target="media/rId18.jpg"/><Relationship Id="rId14" Type="http://schemas.openxmlformats.org/officeDocument/2006/relationships/image" Target="media/rId14.png"/><Relationship Id="rId10" Type="http://schemas.openxmlformats.org/officeDocument/2006/relationships/footer" Target="footer1.xml"/><Relationship Id="rId7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2026-09-18T16:32:57Z</dcterms:created>
  <dcterms:modified xsi:type="dcterms:W3CDTF">2026-09-18T16:32:57Z</dcterms:modified>
</cp:coreProperties>
</file>

<file path=docProps/custom.xml><?xml version="1.0" encoding="utf-8"?>
<Properties xmlns="http://schemas.openxmlformats.org/officeDocument/2006/custom-properties" xmlns:vt="http://schemas.openxmlformats.org/officeDocument/2006/docPropsVTypes"/>
</file>