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-6-章-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：3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：7-1-1</w:t>
      </w:r>
      <w:r>
        <w:rPr>
          <w:rFonts w:ascii="Times New Roman" w:hAnsi="Times New Roman" w:eastAsia="Times New Roman" w:cs="Times New Roman"/>
        </w:rPr>
        <w:t xml:space="preserve"> | 7-1-2 | 7-1-3 | 7-2-1 | 7-2-2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提炼笔记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原始解析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书写核反应方程式时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要注意将所有粒子物种的核电荷数和质量数标出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同时保证反应前后核电荷数和质量数守恒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质量数与核电荷数守恒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Compact"/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</w:rPr>
        <w:t>确定反应物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确定产物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验证质量数守恒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+ 1 = 3 + 1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验证核电荷数守恒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+ 0 = 1 + 1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未标注质量数和核电荷数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核反应方程式必须标注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守恒验证错误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未验证质量数和核电荷数是否守恒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将氚误写为其他粒子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亲水部分中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带有电荷的基团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之间存在静电引力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亲水部分中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铵根基团的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 xml:space="preserve">键可以与磷酸基团中的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水分子之间通过氢键形成稳定的网络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当非极性分子进入水中时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水分子必须重新排列成有序的结构来围绕非极性分子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有序围绕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会降低水的熵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当多个疏水分子或基团靠在一起时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总表面积下降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围绕它们的水分子总数降低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更多的水分子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重获自由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中的疏水尾链互相聚集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最小化它们与水的接触面积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胶束自组装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生物膜结构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分子具有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亲水头基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疏水尾链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的两亲结构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亲水头基之间的相互作用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静电吸引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疏水尾链之间的相互作用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这三种非键相互作用共同维持盘状双层胶束的结构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容易遗漏疏水效应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疏水效应是胶束形成的主要驱动力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疏水效应的本质是熵增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而非能量降低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需要区分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d3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聚脲是一类高性能聚合物树脂材料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广泛应用于防水防腐涂料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胶黏剂和浇铸材料等领域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而聚硫脲具有优异的自修复性能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高折光指数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强金属配位能力等优势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这两种材料均可以通过链间的氢键作用增强其性能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以下说法正确的有</w:t>
      </w:r>
      <w:r>
        <w:rPr>
          <w:rFonts w:hint="eastAsia" w:ascii="Times New Roman" w:hAnsi="Times New Roman" w:eastAsia="Times New Roman" w:cs="Times New Roman"/>
        </w:rPr>
        <w:t>：（）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f338b560e475df06ecc323e1101b27c8c7f6e3cf5d618e1aa6d01991ebbc0ed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9abcbaf6750ce3483643f6e78351758ef73b167ceb42a5dac2a6db40ccbed3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聚合物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分子间氢键更强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聚合物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分子间氢键更强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无法比较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聚合物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分子间氢键更强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氢键强度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共振杂化体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聚硫脲化学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氢键催化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原子比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原子电负性更高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形成的共振杂化体中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的电荷分离极限式贡献更大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因此相比聚硫脲</w:t>
      </w:r>
      <w:r>
        <w:rPr>
          <w:rFonts w:hint="eastAsia" w:ascii="Times New Roman" w:hAnsi="Times New Roman" w:eastAsia="Times New Roman" w:cs="Times New Roman"/>
        </w:rPr>
        <w:t>（B），</w:t>
      </w:r>
      <w:r>
        <w:rPr>
          <w:rFonts w:hint="eastAsia" w:ascii="Times New Roman" w:hAnsi="Times New Roman" w:eastAsia="FangSong" w:cs="Times New Roman"/>
        </w:rPr>
        <w:t>聚脲中的分子间氢键更强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不要仅凭原子电负性判断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需要考虑共振杂化体的贡献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脲和硫脲的氢键成键形式被用于氢键催化中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2026-08-30T07:56:57Z</dcterms:created>
  <dcterms:modified xsi:type="dcterms:W3CDTF">2026-08-30T07:56:57Z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