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7-章-金属有机与偶联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题量</w:t>
      </w:r>
      <w:r>
        <w:rPr>
          <w:rFonts w:hint="eastAsia" w:ascii="Times New Roman" w:hAnsi="Times New Roman" w:eastAsia="Times New Roman" w:cs="Times New Roman"/>
        </w:rPr>
        <w:t xml:space="preserve">：22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难度</w:t>
      </w:r>
      <w:r>
        <w:rPr>
          <w:rFonts w:hint="eastAsia" w:ascii="Times New Roman" w:hAnsi="Times New Roman" w:eastAsia="Times New Roman" w:cs="Times New Roman"/>
        </w:rPr>
        <w:t xml:space="preserve">：d1=0</w:t>
      </w:r>
      <w:r>
        <w:rPr>
          <w:rFonts w:ascii="Times New Roman" w:hAnsi="Times New Roman" w:eastAsia="Times New Roman" w:cs="Times New Roman"/>
        </w:rPr>
        <w:t xml:space="preserve"> d2=0 d3=1 d4=11 d5=10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二茂铁制备反应方程式第2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二茂铁制备反应方程式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通常认为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二茂铁分子中铁原子的配位数为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这是如何算得的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二茂铁晶体属于哪种晶体类型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163.9 K </w:t>
      </w:r>
      <w:r>
        <w:rPr>
          <w:rFonts w:hint="eastAsia" w:ascii="Times New Roman" w:hAnsi="Times New Roman" w:eastAsia="FangSong" w:cs="Times New Roman"/>
        </w:rPr>
        <w:t>以上形成的晶体属于单斜晶系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1.565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计算二茂铁晶体的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ch8-t3-金属催化综合偶联复分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ch9-p8-四原料合成三目标分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40-p3-氨钯化反应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40-p5-pd催化烯丙基化细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40-p10-pd催化吲哚合成新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金属有机试剂反应性排序与当量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逆合成分析基础方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保护基策略在多步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有机合成中的强效试剂与反应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wilkinson催化剂结构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的中心离子的杂化轨道类型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用配合物的价键理论推测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显顺磁性还是抗磁性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有机推断结构式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SimHei" w:cs="Times New Roman"/>
        </w:rPr>
        <w:t>有机推断结构式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逆合成分析进阶多步合成设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逆合成中的关键切断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螺环化合物的合成策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全合成中的官能团兼容性问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全合成综合设计逆合成分析与路线规划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题-有机-合成-c与h活化在全合成中的应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题-有机-合成-保护基策略与正交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题-有机-合成-偶联反应识别与选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题-有机-合成-连续多步合成路线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题-有机-合成-逆合成分析与切断法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2026-08-31T09:03:03Z</dcterms:created>
  <dcterms:modified xsi:type="dcterms:W3CDTF">2026-08-31T09:03:03Z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