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186806" cy="18374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38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19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268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599996" cy="9551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040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697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593072" cy="123591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9948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595820" cy="14694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599996" cy="11080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599999" cy="7233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7" w:name="溴化内酯化与da内型外型"/>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20" w:name="brook重排中间体第37届初赛"/>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76" w:name="二氧化碳化学第40届初赛"/>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03181" cy="27245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7"/>
    <w:bookmarkStart w:id="578" w:name="前线轨道理论判断反应可行性"/>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8"/>
    <w:bookmarkStart w:id="579" w:name="逆环加成与重排串联反应的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0" w:name="分子轨道对称性守恒与周环反应选择"/>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逆电子需求diels-alder反应"/>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周环反应中的电环化开环与关环"/>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cope重排与氧杂cope重排"/>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σ迁移反应的分类与选择规则"/>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7" w:name="da选择性含cn取代基"/>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90" w:name="dielsalder反应endo选择性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重排-favorskii重排缩环"/>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重排-pinacol重排不对称底物判断"/>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woodwardhoffmann规则电环化"/>
    <w:p>
      <w:pPr>
        <w:pStyle w:val="Heading2"/>
        <w:spacing w:before="280" w:after="80"/>
        <w:keepNext/>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自由基-分子内环化与baldwin规则"/>
    <w:p>
      <w:pPr>
        <w:pStyle w:val="Heading2"/>
        <w:spacing w:before="280" w:after="80"/>
        <w:keepNext/>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End w:id="59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