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氧化态与配平</w:t>
            </w:r>
          </w:p>
        </w:tc>
        <w:tc>
          <w:tcPr/>
          <w:p>
            <w:pPr>
              <w:pStyle w:val="Compact"/>
              <w:jc w:val="center"/>
            </w:pPr>
            <w:r>
              <w:rPr>
                <w:rFonts w:hint="eastAsia" w:ascii="Times New Roman" w:hAnsi="Times New Roman" w:eastAsia="FangSong" w:cs="Times New Roman"/>
              </w:rPr>
              <w:t>用氧化态法与离子</w:t>
            </w:r>
            <w:r>
              <w:rPr>
                <w:rFonts w:hint="eastAsia" w:ascii="Times New Roman" w:hAnsi="Times New Roman" w:eastAsia="Times New Roman" w:cs="Times New Roman"/>
              </w:rPr>
              <w:t>-</w:t>
            </w:r>
            <w:r>
              <w:rPr>
                <w:rFonts w:hint="eastAsia" w:ascii="Times New Roman" w:hAnsi="Times New Roman" w:eastAsia="FangSong" w:cs="Times New Roman"/>
              </w:rPr>
              <w:t>电子半反应法配平复杂氧化还原方程式</w:t>
            </w:r>
            <w:r>
              <w:rPr>
                <w:rFonts w:hint="eastAsia" w:ascii="Times New Roman" w:hAnsi="Times New Roman" w:eastAsia="Times New Roman" w:cs="Times New Roman"/>
              </w:rPr>
              <w:t>，</w:t>
            </w:r>
            <w:r>
              <w:rPr>
                <w:rFonts w:hint="eastAsia" w:ascii="Times New Roman" w:hAnsi="Times New Roman" w:eastAsia="FangSong" w:cs="Times New Roman"/>
              </w:rPr>
              <w:t>掌握分子整体法判定总电子得失</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介质与优势物种</w:t>
            </w:r>
          </w:p>
        </w:tc>
        <w:tc>
          <w:tcPr/>
          <w:p>
            <w:pPr>
              <w:pStyle w:val="Compact"/>
              <w:jc w:val="center"/>
            </w:pPr>
            <w:r>
              <w:rPr>
                <w:rFonts w:hint="eastAsia" w:ascii="Times New Roman" w:hAnsi="Times New Roman" w:eastAsia="FangSong" w:cs="Times New Roman"/>
              </w:rPr>
              <w:t>判定酸性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中性介质与优势存在形态</w:t>
            </w:r>
            <w:r>
              <w:rPr>
                <w:rFonts w:hint="eastAsia" w:ascii="Times New Roman" w:hAnsi="Times New Roman" w:eastAsia="Times New Roman" w:cs="Times New Roman"/>
              </w:rPr>
              <w:t>，</w:t>
            </w:r>
            <w:r>
              <w:rPr>
                <w:rFonts w:hint="eastAsia" w:ascii="Times New Roman" w:hAnsi="Times New Roman" w:eastAsia="FangSong" w:cs="Times New Roman"/>
              </w:rPr>
              <w:t>规范书写离子方程式与分子方程式</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非金属与两性元素反应</w:t>
            </w:r>
          </w:p>
        </w:tc>
        <w:tc>
          <w:tcPr/>
          <w:p>
            <w:pPr>
              <w:pStyle w:val="Compact"/>
              <w:jc w:val="center"/>
            </w:pPr>
            <w:r>
              <w:rPr>
                <w:rFonts w:hint="eastAsia" w:ascii="Times New Roman" w:hAnsi="Times New Roman" w:eastAsia="FangSong" w:cs="Times New Roman"/>
              </w:rPr>
              <w:t>书写硼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磷族元素的非氧化还原反应及歧化</w:t>
            </w:r>
            <w:r>
              <w:rPr>
                <w:rFonts w:hint="eastAsia" w:ascii="Times New Roman" w:hAnsi="Times New Roman" w:eastAsia="Times New Roman" w:cs="Times New Roman"/>
              </w:rPr>
              <w:t>、</w:t>
            </w:r>
            <w:r>
              <w:rPr>
                <w:rFonts w:hint="eastAsia" w:ascii="Times New Roman" w:hAnsi="Times New Roman" w:eastAsia="FangSong" w:cs="Times New Roman"/>
              </w:rPr>
              <w:t>归中反应方程式</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陌生流程与合成方程式</w:t>
            </w:r>
          </w:p>
        </w:tc>
        <w:tc>
          <w:tcPr/>
          <w:p>
            <w:pPr>
              <w:pStyle w:val="Compact"/>
              <w:jc w:val="center"/>
            </w:pPr>
            <w:r>
              <w:rPr>
                <w:rFonts w:hint="eastAsia" w:ascii="Times New Roman" w:hAnsi="Times New Roman" w:eastAsia="FangSong" w:cs="Times New Roman"/>
              </w:rPr>
              <w:t>由工业流程与合成描述反推反应物</w:t>
            </w:r>
            <w:r>
              <w:rPr>
                <w:rFonts w:hint="eastAsia" w:ascii="Times New Roman" w:hAnsi="Times New Roman" w:eastAsia="Times New Roman" w:cs="Times New Roman"/>
              </w:rPr>
              <w:t>、</w:t>
            </w:r>
            <w:r>
              <w:rPr>
                <w:rFonts w:hint="eastAsia" w:ascii="Times New Roman" w:hAnsi="Times New Roman" w:eastAsia="FangSong" w:cs="Times New Roman"/>
              </w:rPr>
              <w:t>产物与介质条件</w:t>
            </w:r>
            <w:r>
              <w:rPr>
                <w:rFonts w:hint="eastAsia" w:ascii="Times New Roman" w:hAnsi="Times New Roman" w:eastAsia="Times New Roman" w:cs="Times New Roman"/>
              </w:rPr>
              <w:t>，</w:t>
            </w:r>
            <w:r>
              <w:rPr>
                <w:rFonts w:hint="eastAsia" w:ascii="Times New Roman" w:hAnsi="Times New Roman" w:eastAsia="FangSong" w:cs="Times New Roman"/>
              </w:rPr>
              <w:t>规范书写陌生方程式</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化学方程式是化学科学最核心的通用符号语言</w:t>
      </w:r>
      <w:r>
        <w:rPr>
          <w:rFonts w:hint="eastAsia" w:ascii="Times New Roman" w:hAnsi="Times New Roman" w:eastAsia="Times New Roman" w:cs="Times New Roman"/>
        </w:rPr>
        <w:t>。</w:t>
      </w:r>
      <w:r>
        <w:rPr>
          <w:rFonts w:hint="eastAsia" w:ascii="Times New Roman" w:hAnsi="Times New Roman" w:eastAsia="FangSong" w:cs="Times New Roman"/>
        </w:rPr>
        <w:t>在宏观层面上</w:t>
      </w:r>
      <w:r>
        <w:rPr>
          <w:rFonts w:hint="eastAsia" w:ascii="Times New Roman" w:hAnsi="Times New Roman" w:eastAsia="Times New Roman" w:cs="Times New Roman"/>
        </w:rPr>
        <w:t>，</w:t>
      </w:r>
      <w:r>
        <w:rPr>
          <w:rFonts w:hint="eastAsia" w:ascii="Times New Roman" w:hAnsi="Times New Roman" w:eastAsia="FangSong" w:cs="Times New Roman"/>
        </w:rPr>
        <w:t>化学方程式定量表达了反应物与产物之间的质量守恒与电荷守恒</w:t>
      </w:r>
      <w:r>
        <w:rPr>
          <w:rFonts w:hint="eastAsia" w:ascii="Times New Roman" w:hAnsi="Times New Roman" w:eastAsia="Times New Roman" w:cs="Times New Roman"/>
        </w:rPr>
        <w:t>；</w:t>
      </w:r>
      <w:r>
        <w:rPr>
          <w:rFonts w:hint="eastAsia" w:ascii="Times New Roman" w:hAnsi="Times New Roman" w:eastAsia="FangSong" w:cs="Times New Roman"/>
        </w:rPr>
        <w:t>在微观层面上</w:t>
      </w:r>
      <w:r>
        <w:rPr>
          <w:rFonts w:hint="eastAsia" w:ascii="Times New Roman" w:hAnsi="Times New Roman" w:eastAsia="Times New Roman" w:cs="Times New Roman"/>
        </w:rPr>
        <w:t>，</w:t>
      </w:r>
      <w:r>
        <w:rPr>
          <w:rFonts w:hint="eastAsia" w:ascii="Times New Roman" w:hAnsi="Times New Roman" w:eastAsia="FangSong" w:cs="Times New Roman"/>
        </w:rPr>
        <w:t>它精确揭示了化学键的断裂与重组</w:t>
      </w:r>
      <w:r>
        <w:rPr>
          <w:rFonts w:hint="eastAsia" w:ascii="Times New Roman" w:hAnsi="Times New Roman" w:eastAsia="Times New Roman" w:cs="Times New Roman"/>
        </w:rPr>
        <w:t>、</w:t>
      </w:r>
      <w:r>
        <w:rPr>
          <w:rFonts w:hint="eastAsia" w:ascii="Times New Roman" w:hAnsi="Times New Roman" w:eastAsia="FangSong" w:cs="Times New Roman"/>
        </w:rPr>
        <w:t>电子的转移与重新分布</w:t>
      </w:r>
      <w:r>
        <w:rPr>
          <w:rFonts w:hint="eastAsia" w:ascii="Times New Roman" w:hAnsi="Times New Roman" w:eastAsia="Times New Roman" w:cs="Times New Roman"/>
        </w:rPr>
        <w:t>，</w:t>
      </w:r>
      <w:r>
        <w:rPr>
          <w:rFonts w:hint="eastAsia" w:ascii="Times New Roman" w:hAnsi="Times New Roman" w:eastAsia="FangSong" w:cs="Times New Roman"/>
        </w:rPr>
        <w:t>以及反应体系在特定介质环境下微观优势物种的热力学演变轨迹</w:t>
      </w:r>
      <w:r>
        <w:rPr>
          <w:rFonts w:hint="eastAsia" w:ascii="Times New Roman" w:hAnsi="Times New Roman" w:eastAsia="Times New Roman" w:cs="Times New Roman"/>
        </w:rPr>
        <w:t>。</w:t>
      </w:r>
      <w:r>
        <w:rPr>
          <w:rFonts w:hint="eastAsia" w:ascii="Times New Roman" w:hAnsi="Times New Roman" w:eastAsia="FangSong" w:cs="Times New Roman"/>
        </w:rPr>
        <w:t>在化学竞赛与高阶学术探索中</w:t>
      </w:r>
      <w:r>
        <w:rPr>
          <w:rFonts w:hint="eastAsia" w:ascii="Times New Roman" w:hAnsi="Times New Roman" w:eastAsia="Times New Roman" w:cs="Times New Roman"/>
        </w:rPr>
        <w:t>，</w:t>
      </w:r>
      <w:r>
        <w:rPr>
          <w:rFonts w:hint="eastAsia" w:ascii="Times New Roman" w:hAnsi="Times New Roman" w:eastAsia="FangSong" w:cs="Times New Roman"/>
        </w:rPr>
        <w:t>方程式书写早已超越了基础中学教学中给全已知物种的</w:t>
      </w:r>
      <w:r>
        <w:rPr>
          <w:rFonts w:hint="eastAsia" w:ascii="Times New Roman" w:hAnsi="Times New Roman" w:eastAsia="Times New Roman" w:cs="Times New Roman"/>
        </w:rPr>
        <w:t>“</w:t>
      </w:r>
      <w:r>
        <w:rPr>
          <w:rFonts w:hint="eastAsia" w:ascii="Times New Roman" w:hAnsi="Times New Roman" w:eastAsia="FangSong" w:cs="Times New Roman"/>
        </w:rPr>
        <w:t>机械凑平</w:t>
      </w:r>
      <w:r>
        <w:rPr>
          <w:rFonts w:hint="eastAsia" w:ascii="Times New Roman" w:hAnsi="Times New Roman" w:eastAsia="Times New Roman" w:cs="Times New Roman"/>
        </w:rPr>
        <w:t>”</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而是演变成为一项极具挑战性的综合逻辑推理体系</w:t>
      </w:r>
      <w:r>
        <w:rPr>
          <w:rFonts w:hint="eastAsia" w:ascii="Times New Roman" w:hAnsi="Times New Roman" w:eastAsia="Times New Roman" w:cs="Times New Roman"/>
        </w:rPr>
        <w:t>：</w:t>
      </w:r>
      <w:r>
        <w:rPr>
          <w:rFonts w:hint="eastAsia" w:ascii="Times New Roman" w:hAnsi="Times New Roman" w:eastAsia="FangSong" w:cs="Times New Roman"/>
        </w:rPr>
        <w:t>要求学生在面临极简实验现象</w:t>
      </w:r>
      <w:r>
        <w:rPr>
          <w:rFonts w:hint="eastAsia" w:ascii="Times New Roman" w:hAnsi="Times New Roman" w:eastAsia="Times New Roman" w:cs="Times New Roman"/>
        </w:rPr>
        <w:t>、</w:t>
      </w:r>
      <w:r>
        <w:rPr>
          <w:rFonts w:hint="eastAsia" w:ascii="Times New Roman" w:hAnsi="Times New Roman" w:eastAsia="FangSong" w:cs="Times New Roman"/>
        </w:rPr>
        <w:t>工业工艺简图或复杂反应介质时</w:t>
      </w:r>
      <w:r>
        <w:rPr>
          <w:rFonts w:hint="eastAsia" w:ascii="Times New Roman" w:hAnsi="Times New Roman" w:eastAsia="Times New Roman" w:cs="Times New Roman"/>
        </w:rPr>
        <w:t>，</w:t>
      </w:r>
      <w:r>
        <w:rPr>
          <w:rFonts w:hint="eastAsia" w:ascii="Times New Roman" w:hAnsi="Times New Roman" w:eastAsia="FangSong" w:cs="Times New Roman"/>
        </w:rPr>
        <w:t>自主完成</w:t>
      </w:r>
      <w:r>
        <w:rPr>
          <w:rFonts w:hint="eastAsia" w:ascii="Times New Roman" w:hAnsi="Times New Roman" w:eastAsia="Times New Roman" w:cs="Times New Roman"/>
        </w:rPr>
        <w:t>“</w:t>
      </w:r>
      <w:r>
        <w:rPr>
          <w:rFonts w:hint="eastAsia" w:ascii="Times New Roman" w:hAnsi="Times New Roman" w:eastAsia="FangSong" w:cs="Times New Roman"/>
        </w:rPr>
        <w:t>判别反应驱动力</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确定元素微观氧化态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判定介质优势存在形体</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构建反应骨架并运用数学物理原理完成精准配平</w:t>
      </w:r>
      <w:r>
        <w:rPr>
          <w:rFonts w:hint="eastAsia" w:ascii="Times New Roman" w:hAnsi="Times New Roman" w:eastAsia="Times New Roman" w:cs="Times New Roman"/>
        </w:rPr>
        <w:t>”</w:t>
      </w:r>
      <w:r>
        <w:rPr>
          <w:rFonts w:hint="eastAsia" w:ascii="Times New Roman" w:hAnsi="Times New Roman" w:eastAsia="FangSong" w:cs="Times New Roman"/>
        </w:rPr>
        <w:t>的全链条逻辑推演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核心氧化还原电对与介质产物对应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核心氧化还原电对与介质产物对应速查三线表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
    <w:bookmarkStart w:id="17"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7"/>
    <w:bookmarkStart w:id="1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2026-09-29T02:52:45Z</dcterms:created>
  <dcterms:modified xsi:type="dcterms:W3CDTF">2026-09-29T02:52:45Z</dcterms:modified>
</cp:coreProperties>
</file>

<file path=docProps/custom.xml><?xml version="1.0" encoding="utf-8"?>
<Properties xmlns="http://schemas.openxmlformats.org/officeDocument/2006/custom-properties" xmlns:vt="http://schemas.openxmlformats.org/officeDocument/2006/docPropsVTypes"/>
</file>