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分子间作用力</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p>
        </w:tc>
        <w:tc>
          <w:tcPr/>
          <w:p>
            <w:pPr>
              <w:pStyle w:val="Compact"/>
              <w:jc w:val="cente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r>
              <w:rPr>
                <w:rFonts w:hint="eastAsia" w:ascii="Times New Roman" w:hAnsi="Times New Roman" w:eastAsia="Times New Roman" w:cs="Times New Roman"/>
              </w:rPr>
              <w:t>；</w:t>
            </w: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r>
              <w:rPr>
                <w:rFonts w:hint="eastAsia" w:ascii="Times New Roman" w:hAnsi="Times New Roman" w:eastAsia="Times New Roman" w:cs="Times New Roman"/>
              </w:rPr>
              <w:t>；</w:t>
            </w: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r>
              <w:rPr>
                <w:rFonts w:hint="eastAsia" w:ascii="Times New Roman" w:hAnsi="Times New Roman" w:eastAsia="Times New Roman" w:cs="Times New Roman"/>
              </w:rPr>
              <w:t>；</w:t>
            </w: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r>
              <w:rPr>
                <w:rFonts w:hint="eastAsia" w:ascii="Times New Roman" w:hAnsi="Times New Roman" w:eastAsia="Times New Roman" w:cs="Times New Roman"/>
              </w:rPr>
              <w:t>；</w:t>
            </w: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tc>
      </w:tr>
    </w:tbl>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ind w:firstLine="420"/>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ind w:firstLine="420"/>
      </w:pPr>
      <w:r>
        <w:rPr>
          <w:rFonts w:hint="eastAsia" w:ascii="Times New Roman" w:hAnsi="Times New Roman" w:eastAsia="FangSong" w:cs="Times New Roman"/>
        </w:rPr>
        <w:t xml:space="preserve">能量之所以在</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处取极小</w:t>
      </w:r>
      <w:r>
        <w:rPr>
          <w:rFonts w:hint="eastAsia" w:ascii="Times New Roman" w:hAnsi="Times New Roman" w:eastAsia="Times New Roman" w:cs="Times New Roman"/>
        </w:rPr>
        <w:t>，</w:t>
      </w:r>
      <w:r>
        <w:rPr>
          <w:rFonts w:hint="eastAsia" w:ascii="Times New Roman" w:hAnsi="Times New Roman" w:eastAsia="FangSong" w:cs="Times New Roman"/>
        </w:rPr>
        <w:t>来自两条相反趋势的抵消</w:t>
      </w:r>
      <w:r>
        <w:rPr>
          <w:rFonts w:hint="eastAsia" w:ascii="Times New Roman" w:hAnsi="Times New Roman" w:eastAsia="Times New Roman" w:cs="Times New Roman"/>
        </w:rPr>
        <w:t>：</w:t>
      </w:r>
      <w:r>
        <w:rPr>
          <w:rFonts w:hint="eastAsia" w:ascii="Times New Roman" w:hAnsi="Times New Roman" w:eastAsia="FangSong" w:cs="Times New Roman"/>
        </w:rPr>
        <w:t>一方面电子同时受两个核吸引并在核间聚集</w:t>
      </w:r>
      <w:r>
        <w:rPr>
          <w:rFonts w:hint="eastAsia" w:ascii="Times New Roman" w:hAnsi="Times New Roman" w:eastAsia="Times New Roman" w:cs="Times New Roman"/>
        </w:rPr>
        <w:t>，</w:t>
      </w:r>
      <w:r>
        <w:rPr>
          <w:rFonts w:hint="eastAsia" w:ascii="Times New Roman" w:hAnsi="Times New Roman" w:eastAsia="FangSong" w:cs="Times New Roman"/>
        </w:rPr>
        <w:t>屏蔽了核间排斥</w:t>
      </w:r>
      <w:r>
        <w:rPr>
          <w:rFonts w:hint="eastAsia" w:ascii="Times New Roman" w:hAnsi="Times New Roman" w:eastAsia="Times New Roman" w:cs="Times New Roman"/>
        </w:rPr>
        <w:t>，</w:t>
      </w:r>
      <w:r>
        <w:rPr>
          <w:rFonts w:hint="eastAsia" w:ascii="Times New Roman" w:hAnsi="Times New Roman" w:eastAsia="FangSong" w:cs="Times New Roman"/>
        </w:rPr>
        <w:t>使势能下降</w:t>
      </w:r>
      <w:r>
        <w:rPr>
          <w:rFonts w:hint="eastAsia" w:ascii="Times New Roman" w:hAnsi="Times New Roman" w:eastAsia="Times New Roman" w:cs="Times New Roman"/>
        </w:rPr>
        <w:t>；</w:t>
      </w:r>
      <w:r>
        <w:rPr>
          <w:rFonts w:hint="eastAsia" w:ascii="Times New Roman" w:hAnsi="Times New Roman" w:eastAsia="FangSong" w:cs="Times New Roman"/>
        </w:rPr>
        <w:t>另一方面核间距继续减小时</w:t>
      </w:r>
      <w:r>
        <w:rPr>
          <w:rFonts w:hint="eastAsia" w:ascii="Times New Roman" w:hAnsi="Times New Roman" w:eastAsia="Times New Roman" w:cs="Times New Roman"/>
        </w:rPr>
        <w:t>，</w:t>
      </w:r>
      <w:r>
        <w:rPr>
          <w:rFonts w:hint="eastAsia" w:ascii="Times New Roman" w:hAnsi="Times New Roman" w:eastAsia="FangSong" w:cs="Times New Roman"/>
        </w:rPr>
        <w:t>核间排斥上升</w:t>
      </w:r>
      <w:r>
        <w:rPr>
          <w:rFonts w:hint="eastAsia" w:ascii="Times New Roman" w:hAnsi="Times New Roman" w:eastAsia="Times New Roman" w:cs="Times New Roman"/>
        </w:rPr>
        <w:t>，</w:t>
      </w:r>
      <w:r>
        <w:rPr>
          <w:rFonts w:hint="eastAsia" w:ascii="Times New Roman" w:hAnsi="Times New Roman" w:eastAsia="FangSong" w:cs="Times New Roman"/>
        </w:rPr>
        <w:t>电子被约束在更小空间也使动能上升</w:t>
      </w:r>
      <w:r>
        <w:rPr>
          <w:rFonts w:hint="eastAsia" w:ascii="Times New Roman" w:hAnsi="Times New Roman" w:eastAsia="Times New Roman" w:cs="Times New Roman"/>
        </w:rPr>
        <w:t>。</w:t>
      </w:r>
      <w:r>
        <w:rPr>
          <w:rFonts w:hint="eastAsia" w:ascii="Times New Roman" w:hAnsi="Times New Roman" w:eastAsia="FangSong" w:cs="Times New Roman"/>
        </w:rPr>
        <w:t>前者在较大距离占优</w:t>
      </w:r>
      <w:r>
        <w:rPr>
          <w:rFonts w:hint="eastAsia" w:ascii="Times New Roman" w:hAnsi="Times New Roman" w:eastAsia="Times New Roman" w:cs="Times New Roman"/>
        </w:rPr>
        <w:t>，</w:t>
      </w:r>
      <w:r>
        <w:rPr>
          <w:rFonts w:hint="eastAsia" w:ascii="Times New Roman" w:hAnsi="Times New Roman" w:eastAsia="FangSong" w:cs="Times New Roman"/>
        </w:rPr>
        <w:t>后者在近距离占优</w:t>
      </w:r>
      <w:r>
        <w:rPr>
          <w:rFonts w:hint="eastAsia" w:ascii="Times New Roman" w:hAnsi="Times New Roman" w:eastAsia="Times New Roman" w:cs="Times New Roman"/>
        </w:rPr>
        <w:t>，</w:t>
      </w:r>
      <w:r>
        <w:rPr>
          <w:rFonts w:hint="eastAsia" w:ascii="Times New Roman" w:hAnsi="Times New Roman" w:eastAsia="FangSong" w:cs="Times New Roman"/>
        </w:rPr>
        <w:t>二者平衡给出平衡核间距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该处的能量降幅即键能</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ind w:firstLine="42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键型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成键本质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hint="eastAsia" w:ascii="Times New Roman" w:hAnsi="Times New Roman" w:eastAsia="Times New Roman" w:cs="Times New Roman"/>
              </w:rPr>
              <w:t xml:space="preserve">600～4000</w:t>
            </w:r>
            <w:r>
              <w:rPr>
                <w:rFonts w:ascii="Times New Roman" w:hAnsi="Times New Roman" w:eastAsia="Times New Roman" w:cs="Times New Roman"/>
              </w:rPr>
              <w:t xml:space="preserve">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 xml:space="preserve">150～1000</w:t>
            </w:r>
            <w:r>
              <w:rPr>
                <w:rFonts w:ascii="Times New Roman" w:hAnsi="Times New Roman" w:eastAsia="Times New Roman" w:cs="Times New Roman"/>
              </w:rPr>
              <w:t xml:space="preserve">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hint="eastAsia" w:ascii="Times New Roman" w:hAnsi="Times New Roman" w:eastAsia="Times New Roman" w:cs="Times New Roman"/>
              </w:rPr>
              <w:t xml:space="preserve">100～800</w:t>
            </w:r>
            <w:r>
              <w:rPr>
                <w:rFonts w:ascii="Times New Roman" w:hAnsi="Times New Roman" w:eastAsia="Times New Roman" w:cs="Times New Roman"/>
              </w:rPr>
              <w:t xml:space="preserve"> kJ/mol</w:t>
            </w:r>
          </w:p>
        </w:tc>
      </w:tr>
    </w:tbl>
    <w:p>
      <w:pPr>
        <w:pStyle w:val="BodyText"/>
        <w:spacing w:before="120" w:after="80"/>
        <w:ind w:firstLine="42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BodyText"/>
        <w:spacing w:before="120"/>
        <w:ind w:firstLine="420"/>
      </w:pP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实际判断还要结合</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构型者极化能力强</w:t>
      </w:r>
      <w:r>
        <w:rPr>
          <w:rFonts w:hint="eastAsia" w:ascii="Times New Roman" w:hAnsi="Times New Roman" w:eastAsia="Times New Roman" w:cs="Times New Roman"/>
        </w:rPr>
        <w:t>，</w:t>
      </w:r>
      <w:r>
        <w:rPr>
          <w:rFonts w:hint="eastAsia" w:ascii="Times New Roman" w:hAnsi="Times New Roman" w:eastAsia="FangSong" w:cs="Times New Roman"/>
        </w:rPr>
        <w:t>键型偏向共价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FirstParagraph"/>
        <w:ind w:firstLine="420"/>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Kossel</w:t>
      </w:r>
      <w:r>
        <w:rPr>
          <w:rFonts w:hint="eastAsia" w:ascii="Times New Roman" w:hAnsi="Times New Roman" w:eastAsia="FangSong" w:cs="Times New Roman"/>
        </w:rPr>
        <w:t>根据稀有气体原子具有稳定结构的事实提出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1"/>
        </w:numPr>
        <w:ind w:firstLine="420"/>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FirstParagraph"/>
        <w:ind w:firstLine="420"/>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BodyText"/>
        <w:ind w:firstLine="420"/>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ind w:firstLine="42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激发后未成对电子数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形成共价键数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odyText"/>
        <w:spacing w:before="120"/>
        <w:ind w:firstLine="4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的价层共有</w:t>
      </w:r>
      <w:r>
        <w:rPr>
          <w:rFonts w:hint="eastAsia" w:ascii="Times New Roman" w:hAnsi="Times New Roman" w:eastAsia="Times New Roman" w:cs="Times New Roman"/>
        </w:rPr>
        <w:t>9</w:t>
      </w:r>
      <w:r>
        <w:rPr>
          <w:rFonts w:hint="eastAsia" w:ascii="Times New Roman" w:hAnsi="Times New Roman" w:eastAsia="FangSong" w:cs="Times New Roman"/>
        </w:rPr>
        <w:t>个价轨道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ns、3</w:t>
      </w:r>
      <w:r>
        <w:rPr>
          <w:rFonts w:hint="eastAsia" w:ascii="Times New Roman" w:hAnsi="Times New Roman" w:eastAsia="FangSong" w:cs="Times New Roman"/>
        </w:rPr>
        <w:t>个</w:t>
      </w:r>
      <w:r>
        <w:rPr>
          <w:rFonts w:hint="eastAsia" w:ascii="Times New Roman" w:hAnsi="Times New Roman" w:eastAsia="Times New Roman" w:cs="Times New Roman"/>
        </w:rPr>
        <w:t>np、5</w:t>
      </w:r>
      <w:r>
        <w:rPr>
          <w:rFonts w:hint="eastAsia" w:ascii="Times New Roman" w:hAnsi="Times New Roman" w:eastAsia="FangSong" w:cs="Times New Roman"/>
        </w:rPr>
        <w:t>个</w:t>
      </w:r>
      <w:r>
        <w:rPr>
          <w:rFonts w:hint="eastAsia" w:ascii="Times New Roman" w:hAnsi="Times New Roman" w:eastAsia="Times New Roman" w:cs="Times New Roman"/>
        </w:rPr>
        <w:t>nd），</w:t>
      </w:r>
      <w:r>
        <w:rPr>
          <w:rFonts w:hint="eastAsia" w:ascii="Times New Roman" w:hAnsi="Times New Roman" w:eastAsia="FangSong" w:cs="Times New Roman"/>
        </w:rPr>
        <w:t>因此中心原子可容纳超过</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现代计算表明</w:t>
      </w:r>
      <w:r>
        <w:rPr>
          <w:rFonts w:ascii="Times New Roman" w:hAnsi="Times New Roman" w:eastAsia="Times New Roman" w:cs="Times New Roman"/>
        </w:rPr>
        <w:t xml:space="preserve"> nd </w:t>
      </w:r>
      <w:r>
        <w:rPr>
          <w:rFonts w:hint="eastAsia" w:ascii="Times New Roman" w:hAnsi="Times New Roman" w:eastAsia="FangSong" w:cs="Times New Roman"/>
        </w:rPr>
        <w:t>轨道实际参与成键的程度有限</w:t>
      </w:r>
      <w:r>
        <w:rPr>
          <w:rFonts w:hint="eastAsia" w:ascii="Times New Roman" w:hAnsi="Times New Roman" w:eastAsia="Times New Roman" w:cs="Times New Roman"/>
        </w:rPr>
        <w:t>，</w:t>
      </w:r>
      <w:r>
        <w:rPr>
          <w:rFonts w:hint="eastAsia" w:ascii="Times New Roman" w:hAnsi="Times New Roman" w:eastAsia="FangSong" w:cs="Times New Roman"/>
        </w:rPr>
        <w:t>超价键合更常由三中心四电子键与离子性贡献来描述</w:t>
      </w:r>
      <w:r>
        <w:rPr>
          <w:rFonts w:hint="eastAsia" w:ascii="Times New Roman" w:hAnsi="Times New Roman" w:eastAsia="Times New Roman" w:cs="Times New Roman"/>
        </w:rPr>
        <w:t>；</w:t>
      </w:r>
      <w:r>
        <w:rPr>
          <w:rFonts w:hint="eastAsia" w:ascii="Times New Roman" w:hAnsi="Times New Roman" w:eastAsia="FangSong" w:cs="Times New Roman"/>
        </w:rPr>
        <w:t>第一轮按</w:t>
      </w:r>
      <w:r>
        <w:rPr>
          <w:rFonts w:hint="eastAsia" w:ascii="Times New Roman" w:hAnsi="Times New Roman" w:eastAsia="Times New Roman" w:cs="Times New Roman"/>
        </w:rPr>
        <w:t>d</w:t>
      </w:r>
      <w:r>
        <w:rPr>
          <w:rFonts w:hint="eastAsia" w:ascii="Times New Roman" w:hAnsi="Times New Roman" w:eastAsia="FangSong" w:cs="Times New Roman"/>
        </w:rPr>
        <w:t>轨道扩八隅体模型掌握</w:t>
      </w:r>
      <w:r>
        <w:rPr>
          <w:rFonts w:hint="eastAsia" w:ascii="Times New Roman" w:hAnsi="Times New Roman" w:eastAsia="Times New Roman" w:cs="Times New Roman"/>
        </w:rPr>
        <w:t>，</w:t>
      </w:r>
      <w:r>
        <w:rPr>
          <w:rFonts w:hint="eastAsia" w:ascii="Times New Roman" w:hAnsi="Times New Roman" w:eastAsia="FangSong" w:cs="Times New Roman"/>
        </w:rPr>
        <w:t>严格处理留待后续轮次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ind w:firstLine="420"/>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特征</w:t>
            </w:r>
          </w:p>
        </w:tc>
        <w:tc>
          <w:tcPr>
            <w:tcBorders>
              <w:bottom w:val="single" w:sz="6" w:space="0" w:color="333333"/>
            </w:tcBorders>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tcBorders>
              <w:bottom w:val="single" w:sz="6" w:space="0" w:color="333333"/>
            </w:tcBorders>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ind w:firstLine="4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FirstParagraph"/>
        <w:ind w:firstLine="420"/>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BodyText"/>
        <w:spacing w:after="80"/>
        <w:ind w:firstLine="42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提出者</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物理基础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ind w:firstLine="4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系数改为</w:t>
      </w:r>
      <w:r>
        <w:rPr>
          <w:rFonts w:ascii="Times New Roman" w:hAnsi="Times New Roman" w:eastAsia="Times New Roman" w:cs="Times New Roman"/>
        </w:rPr>
        <w:t xml:space="preserve"> </w:t>
      </w:r>
      <w:r>
        <w:rPr>
          <w:rFonts w:hint="eastAsia" w:ascii="Times New Roman" w:hAnsi="Times New Roman" w:eastAsia="Times New Roman" w:cs="Times New Roman"/>
        </w:rPr>
        <w:t>0.208）。</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ind w:firstLine="420"/>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ind w:firstLine="42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趋势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BodyText"/>
        <w:spacing w:before="120"/>
        <w:ind w:firstLine="4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FirstParagraph"/>
        <w:ind w:firstLine="420"/>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分子中原子之间可以通过共享电子对而使每个原子具有稳定的稀有气体电子结构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BodyText"/>
        <w:spacing w:before="120"/>
        <w:ind w:firstLine="420"/>
      </w:pP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对其他周期元素则不完全遵守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结构只给出骨架</w:t>
      </w:r>
      <w:r>
        <w:rPr>
          <w:rFonts w:hint="eastAsia" w:ascii="Times New Roman" w:hAnsi="Times New Roman" w:eastAsia="Times New Roman" w:cs="Times New Roman"/>
        </w:rPr>
        <w:t>，</w:t>
      </w:r>
      <w:r>
        <w:rPr>
          <w:rFonts w:hint="eastAsia" w:ascii="Times New Roman" w:hAnsi="Times New Roman" w:eastAsia="FangSong" w:cs="Times New Roman"/>
        </w:rPr>
        <w:t>既不能阐明共价键的本质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共享电子对为何就能成键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这两点分别由</w:t>
      </w:r>
      <w:r>
        <w:rPr>
          <w:rFonts w:hint="eastAsia" w:ascii="Times New Roman" w:hAnsi="Times New Roman" w:eastAsia="Times New Roman" w:cs="Times New Roman"/>
        </w:rPr>
        <w:t>§</w:t>
      </w:r>
      <w:r>
        <w:rPr>
          <w:rFonts w:hint="eastAsia" w:ascii="Times New Roman" w:hAnsi="Times New Roman" w:eastAsia="FangSong" w:cs="Times New Roman"/>
        </w:rPr>
        <w:t>四的</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w:t>
      </w:r>
      <w:r>
        <w:rPr>
          <w:rFonts w:hint="eastAsia" w:ascii="Times New Roman" w:hAnsi="Times New Roman" w:eastAsia="FangSong" w:cs="Times New Roman"/>
        </w:rPr>
        <w:t>五的</w:t>
      </w:r>
      <w:r>
        <w:rPr>
          <w:rFonts w:hint="eastAsia" w:ascii="Times New Roman" w:hAnsi="Times New Roman" w:eastAsia="Times New Roman" w:cs="Times New Roman"/>
        </w:rPr>
        <w:t>MO</w:t>
      </w:r>
      <w:r>
        <w:rPr>
          <w:rFonts w:hint="eastAsia" w:ascii="Times New Roman" w:hAnsi="Times New Roman" w:eastAsia="FangSong" w:cs="Times New Roman"/>
        </w:rPr>
        <w:t>理论回答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ind w:firstLine="42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步骤</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操作</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ind w:firstLine="4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odyText"/>
        <w:ind w:firstLine="420"/>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FirstParagraph"/>
        <w:ind w:firstLine="420"/>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ind w:firstLine="420"/>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ind w:firstLine="420"/>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FirstParagraph"/>
        <w:ind w:firstLine="420"/>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hint="eastAsia" w:ascii="Times New Roman" w:hAnsi="Times New Roman" w:eastAsia="Times New Roman" w:cs="Times New Roman"/>
        </w:rPr>
        <w:t>。</w:t>
      </w:r>
      <w:r>
        <w:rPr>
          <w:rFonts w:hint="eastAsia" w:ascii="Times New Roman" w:hAnsi="Times New Roman" w:eastAsia="FangSong" w:cs="Times New Roman"/>
        </w:rPr>
        <w:t>共振论的局限在于</w:t>
      </w:r>
      <w:r>
        <w:rPr>
          <w:rFonts w:hint="eastAsia" w:ascii="Times New Roman" w:hAnsi="Times New Roman" w:eastAsia="FangSong" w:cs="Times New Roman"/>
          <w:b/>
          <w:bCs/>
        </w:rPr>
        <w:t xml:space="preserve">参与共振的结构需要人为选择</w:t>
      </w:r>
      <w:r>
        <w:rPr>
          <w:rFonts w:hint="eastAsia" w:ascii="Times New Roman" w:hAnsi="Times New Roman" w:eastAsia="Times New Roman" w:cs="Times New Roman"/>
        </w:rPr>
        <w:t>，</w:t>
      </w:r>
      <w:r>
        <w:rPr>
          <w:rFonts w:hint="eastAsia" w:ascii="Times New Roman" w:hAnsi="Times New Roman" w:eastAsia="FangSong" w:cs="Times New Roman"/>
        </w:rPr>
        <w:t>含一定主观性</w:t>
      </w:r>
      <w:r>
        <w:rPr>
          <w:rFonts w:hint="eastAsia" w:ascii="Times New Roman" w:hAnsi="Times New Roman" w:eastAsia="Times New Roman" w:cs="Times New Roman"/>
        </w:rPr>
        <w:t>；</w:t>
      </w:r>
      <w:r>
        <w:rPr>
          <w:rFonts w:hint="eastAsia" w:ascii="Times New Roman" w:hAnsi="Times New Roman" w:eastAsia="FangSong" w:cs="Times New Roman"/>
        </w:rPr>
        <w:t>处理电子离域时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（MO）</w:t>
      </w:r>
      <w:r>
        <w:rPr>
          <w:rFonts w:hint="eastAsia" w:ascii="Times New Roman" w:hAnsi="Times New Roman" w:eastAsia="FangSong" w:cs="Times New Roman"/>
        </w:rPr>
        <w:t>理论更自然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FirstParagraph"/>
        <w:ind w:firstLine="420"/>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BodyText"/>
        <w:ind w:firstLine="420"/>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ind w:firstLine="42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孤对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ind w:firstLine="420"/>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2"/>
        </w:numPr>
        <w:ind w:firstLine="420"/>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2"/>
        </w:numPr>
        <w:ind w:firstLine="420"/>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w:t>
      </w:r>
      <w:r>
        <w:rPr>
          <w:rFonts w:ascii="Times New Roman" w:hAnsi="Times New Roman" w:eastAsia="Times New Roman" w:cs="Times New Roman"/>
        </w:rPr>
        <w:t xml:space="preserve"> &gt;&gt; 120° &gt;&gt; </w:t>
      </w:r>
      <w:r>
        <w:rPr>
          <w:rFonts w:hint="eastAsia" w:ascii="Times New Roman" w:hAnsi="Times New Roman" w:eastAsia="Times New Roman" w:cs="Times New Roman"/>
        </w:rPr>
        <w:t>180°。</w:t>
      </w:r>
      <w:r>
        <w:rPr>
          <w:rFonts w:hint="eastAsia" w:ascii="Times New Roman" w:hAnsi="Times New Roman" w:eastAsia="FangSong" w:cs="Times New Roman"/>
        </w:rPr>
        <w:t>原因是夹角越小两对电子云的空间距离越近</w:t>
      </w:r>
      <w:r>
        <w:rPr>
          <w:rFonts w:hint="eastAsia" w:ascii="Times New Roman" w:hAnsi="Times New Roman" w:eastAsia="Times New Roman" w:cs="Times New Roman"/>
        </w:rPr>
        <w:t>，</w:t>
      </w:r>
      <w:r>
        <w:rPr>
          <w:rFonts w:hint="eastAsia" w:ascii="Times New Roman" w:hAnsi="Times New Roman" w:eastAsia="FangSong" w:cs="Times New Roman"/>
        </w:rPr>
        <w:t>而排斥随距离缩短迅速增大</w:t>
      </w:r>
      <w:r>
        <w:rPr>
          <w:rFonts w:hint="eastAsia" w:ascii="Times New Roman" w:hAnsi="Times New Roman" w:eastAsia="Times New Roman" w:cs="Times New Roman"/>
        </w:rPr>
        <w:t>——</w:t>
      </w:r>
      <w:r>
        <w:rPr>
          <w:rFonts w:hint="eastAsia" w:ascii="Times New Roman" w:hAnsi="Times New Roman" w:eastAsia="FangSong" w:cs="Times New Roman"/>
        </w:rPr>
        <w:t>这也是三角双锥中孤对优先占赤道位的依据</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3.4）</w:t>
      </w:r>
    </w:p>
    <w:p>
      <w:pPr>
        <w:pStyle w:val="FirstParagraph"/>
        <w:spacing w:after="80"/>
        <w:ind w:firstLine="42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孤对数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FirstParagraph"/>
        <w:spacing w:after="80"/>
        <w:ind w:firstLine="420"/>
      </w:pP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孤对数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占据位置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odyText"/>
        <w:ind w:firstLine="420"/>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FirstParagraph"/>
        <w:ind w:firstLine="420"/>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BodyText"/>
        <w:ind w:firstLine="420"/>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ind w:firstLine="42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tcBorders>
              <w:bottom w:val="single" w:sz="6" w:space="0" w:color="333333"/>
            </w:tcBorders>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odyText"/>
        <w:spacing w:before="120"/>
        <w:ind w:firstLine="420"/>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FirstParagraph"/>
        <w:spacing w:after="80"/>
        <w:ind w:firstLine="42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孤对数</w:t>
            </w:r>
          </w:p>
        </w:tc>
        <w:tc>
          <w:tcPr>
            <w:tcBorders>
              <w:bottom w:val="single" w:sz="6" w:space="0" w:color="333333"/>
            </w:tcBorders>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3"/>
        </w:numPr>
        <w:ind w:firstLine="420"/>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3"/>
        </w:numPr>
        <w:ind w:firstLine="420"/>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3"/>
        </w:numPr>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3"/>
        </w:numPr>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ind w:firstLine="42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tcBorders>
              <w:bottom w:val="single" w:sz="6" w:space="0" w:color="333333"/>
            </w:tcBorders>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tcBorders>
              <w:bottom w:val="single" w:sz="6" w:space="0" w:color="333333"/>
            </w:tcBorders>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odyText"/>
        <w:spacing w:before="120"/>
        <w:ind w:firstLine="420"/>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FirstParagraph"/>
        <w:ind w:firstLine="420"/>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BodyText"/>
        <w:ind w:firstLine="420"/>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4"/>
        </w:numPr>
        <w:ind w:firstLine="420"/>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4"/>
        </w:numPr>
        <w:ind w:firstLine="420"/>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ind w:firstLine="42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FirstParagraph"/>
        <w:spacing w:after="80"/>
        <w:ind w:firstLine="420"/>
      </w:pP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适用分子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能级顺序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BodyText"/>
        <w:spacing w:before="120"/>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ind w:firstLine="420"/>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131"/>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电子数</w:t>
            </w:r>
          </w:p>
        </w:tc>
        <w:tc>
          <w:tcPr>
            <w:tcBorders>
              <w:bottom w:val="single" w:sz="6" w:space="0" w:color="333333"/>
            </w:tcBorders>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odyText"/>
        <w:spacing w:before="120"/>
        <w:ind w:firstLine="4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ind w:firstLine="420"/>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ind w:firstLine="420"/>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由此</w:t>
      </w:r>
      <w:r>
        <w:rPr>
          <w:rFonts w:hint="eastAsia" w:ascii="Times New Roman" w:hAnsi="Times New Roman" w:eastAsia="Times New Roman" w:cs="Times New Roman"/>
        </w:rPr>
        <w:t>，NO</w:t>
      </w:r>
      <w:r>
        <w:rPr>
          <w:rFonts w:hint="eastAsia" w:ascii="Times New Roman" w:hAnsi="Times New Roman" w:eastAsia="FangSong" w:cs="Times New Roman"/>
        </w:rPr>
        <w:t>作为配体时倾向于以</w:t>
      </w:r>
      <w:r>
        <w:rPr>
          <w:rFonts w:hint="eastAsia" w:ascii="Times New Roman" w:hAnsi="Times New Roman" w:eastAsia="Times New Roman" w:cs="Times New Roman"/>
        </w:rPr>
        <w:t>N</w:t>
      </w:r>
      <w:r>
        <w:rPr>
          <w:rFonts w:hint="eastAsia" w:ascii="Times New Roman" w:hAnsi="Times New Roman" w:eastAsia="FangSong" w:cs="Times New Roman"/>
        </w:rPr>
        <w:t>端直线形配位</w:t>
      </w:r>
      <w:r>
        <w:rPr>
          <w:rFonts w:hint="eastAsia" w:ascii="Times New Roman" w:hAnsi="Times New Roman" w:eastAsia="Times New Roman" w:cs="Times New Roman"/>
        </w:rPr>
        <w:t>（M–N–O），</w:t>
      </w:r>
      <w:r>
        <w:rPr>
          <w:rFonts w:hint="eastAsia" w:ascii="Times New Roman" w:hAnsi="Times New Roman" w:eastAsia="FangSong" w:cs="Times New Roman"/>
        </w:rPr>
        <w:t>按共价模型计为</w:t>
      </w:r>
      <w:r>
        <w:rPr>
          <w:rFonts w:hint="eastAsia" w:ascii="Times New Roman" w:hAnsi="Times New Roman" w:eastAsia="Times New Roman" w:cs="Times New Roman"/>
        </w:rPr>
        <w:t>3</w:t>
      </w:r>
      <w:r>
        <w:rPr>
          <w:rFonts w:hint="eastAsia" w:ascii="Times New Roman" w:hAnsi="Times New Roman" w:eastAsia="FangSong" w:cs="Times New Roman"/>
        </w:rPr>
        <w:t>电子给体</w:t>
      </w:r>
    </w:p>
    <w:p>
      <w:pPr>
        <w:pStyle w:val="BodyText"/>
        <w:ind w:firstLine="4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FirstParagraph"/>
        <w:ind w:firstLine="42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odyText"/>
        <w:spacing w:before="120"/>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π</w:t>
      </w:r>
      <w:r>
        <w:rPr>
          <w:rFonts w:hint="eastAsia" w:ascii="Times New Roman" w:hAnsi="Times New Roman" w:eastAsia="FangSong" w:cs="Times New Roman"/>
        </w:rPr>
        <w:t>电子数用电子守恒计算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扣除</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O</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对孤对的</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孤对位于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体系垂直</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w:t>
      </w:r>
      <m:oMath>
        <m:oMathPr>
          <m:ctrlPr>
            <w:rPr>
              <w:sz w:val="28"/>
              <w:szCs w:val="28"/>
            </w:rPr>
          </m:ctrlPr>
        </m:oMathPr>
        <m:r>
          <m:t>24</m:t>
        </m:r>
        <m:r>
          <m:rPr>
            <m:sty m:val="p"/>
          </m:rPr>
          <m:t>−</m:t>
        </m:r>
        <m:r>
          <m:t>6</m:t>
        </m:r>
        <m:r>
          <m:rPr>
            <m:sty m:val="p"/>
          </m:rPr>
          <m:t>−</m:t>
        </m:r>
        <m:r>
          <m:t>12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个电子进入</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这</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电子离域在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FirstParagraph"/>
        <w:spacing w:after="80"/>
        <w:ind w:firstLine="42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等电子体的一般概念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r>
        <w:rPr>
          <w:rFonts w:hint="eastAsia" w:ascii="Times New Roman" w:hAnsi="Times New Roman" w:eastAsia="FangSong" w:cs="Times New Roman"/>
        </w:rPr>
        <w:t>据此可按三步推断未知结构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odyText"/>
        <w:spacing w:before="120"/>
        <w:ind w:firstLine="4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FirstParagraph"/>
        <w:ind w:firstLine="42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hint="eastAsia" w:ascii="Times New Roman" w:hAnsi="Times New Roman" w:eastAsia="Times New Roman" w:cs="Times New Roman"/>
        </w:rPr>
        <w:t>。（</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小负走高</w:t>
      </w:r>
      <w:r>
        <w:rPr>
          <w:rFonts w:ascii="Times New Roman" w:hAnsi="Times New Roman" w:eastAsia="Times New Roman" w:cs="Times New Roman"/>
          <w:b/>
          <w:bCs/>
        </w:rPr>
        <w:t xml:space="preserve"> s</w:t>
      </w:r>
      <w:r>
        <w:rPr>
          <w:rFonts w:hint="eastAsia" w:ascii="Times New Roman" w:hAnsi="Times New Roman" w:eastAsia="Times New Roman" w:cs="Times New Roman"/>
        </w:rPr>
        <w:t>——</w:t>
      </w:r>
      <w:r>
        <w:rPr>
          <w:rFonts w:hint="eastAsia" w:ascii="Times New Roman" w:hAnsi="Times New Roman" w:eastAsia="FangSong" w:cs="Times New Roman"/>
        </w:rPr>
        <w:t>电负性小的基团方向</w:t>
      </w:r>
      <w:r>
        <w:rPr>
          <w:rFonts w:ascii="Times New Roman" w:hAnsi="Times New Roman" w:eastAsia="Times New Roman" w:cs="Times New Roman"/>
        </w:rPr>
        <w:t xml:space="preserve"> s </w:t>
      </w:r>
      <w:r>
        <w:rPr>
          <w:rFonts w:hint="eastAsia" w:ascii="Times New Roman" w:hAnsi="Times New Roman" w:eastAsia="FangSong" w:cs="Times New Roman"/>
        </w:rPr>
        <w:t>成分高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odyText"/>
        <w:spacing w:before="120"/>
        <w:ind w:firstLine="4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FirstParagraph"/>
        <w:ind w:firstLine="420"/>
      </w:pPr>
      <w:r>
        <w:rPr>
          <w:rFonts w:hint="eastAsia" w:ascii="Times New Roman" w:hAnsi="Times New Roman" w:eastAsia="FangSong" w:cs="Times New Roman"/>
          <w:b/>
          <w:bCs/>
        </w:rPr>
        <w:t xml:space="preserve">考情</w:t>
      </w:r>
      <w:r>
        <w:rPr>
          <w:rFonts w:hint="eastAsia" w:ascii="Times New Roman" w:hAnsi="Times New Roman" w:eastAsia="Times New Roman" w:cs="Times New Roman"/>
        </w:rPr>
        <w:t>：36</w:t>
      </w:r>
      <w:r>
        <w:rPr>
          <w:rFonts w:hint="eastAsia" w:ascii="Times New Roman" w:hAnsi="Times New Roman" w:eastAsia="FangSong" w:cs="Times New Roman"/>
        </w:rPr>
        <w:t>届二场与</w:t>
      </w:r>
      <w:r>
        <w:rPr>
          <w:rFonts w:hint="eastAsia" w:ascii="Times New Roman" w:hAnsi="Times New Roman" w:eastAsia="Times New Roman" w:cs="Times New Roman"/>
        </w:rPr>
        <w:t>39</w:t>
      </w:r>
      <w:r>
        <w:rPr>
          <w:rFonts w:hint="eastAsia" w:ascii="Times New Roman" w:hAnsi="Times New Roman" w:eastAsia="FangSong" w:cs="Times New Roman"/>
        </w:rPr>
        <w:t>届连续考查</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这与只考虑偶极排斥的直觉相反</w:t>
      </w:r>
    </w:p>
    <w:p>
      <w:pPr>
        <w:pStyle w:val="BodyText"/>
        <w:ind w:firstLine="420"/>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ind w:firstLine="420"/>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ind w:firstLine="420"/>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FirstParagraph"/>
        <w:ind w:firstLine="420"/>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BodyText"/>
        <w:ind w:firstLine="420"/>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spacing w:after="80"/>
        <w:ind w:firstLine="420"/>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r>
        <w:rPr>
          <w:rFonts w:hint="eastAsia" w:ascii="Times New Roman" w:hAnsi="Times New Roman" w:eastAsia="FangSong" w:cs="Times New Roman"/>
        </w:rPr>
        <w:t>键的极性即分子的极性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FirstParagraph"/>
        <w:ind w:firstLine="420"/>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BodyText"/>
        <w:spacing w:after="80"/>
        <w:ind w:firstLine="42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2200"/>
        <w:gridCol w:w="176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定义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odyText"/>
        <w:spacing w:before="120" w:after="80"/>
        <w:ind w:firstLine="420"/>
      </w:pPr>
      <w:r>
        <w:rPr>
          <w:rFonts w:hint="eastAsia" w:ascii="Times New Roman" w:hAnsi="Times New Roman" w:eastAsia="FangSong" w:cs="Times New Roman"/>
        </w:rPr>
        <w:t xml:space="preserve">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对称中心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ind w:firstLine="4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FirstParagraph"/>
        <w:spacing w:after="80"/>
        <w:ind w:firstLine="42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对比化学键的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100～1000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作用力</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存在条件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ind w:firstLine="42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(×10</w:t>
            </w:r>
            <w:r>
              <w:rPr>
                <w:rFonts w:hint="eastAsia" w:ascii="Times New Roman" w:hAnsi="Times New Roman" w:eastAsia="Times New Roman" w:cs="Times New Roman"/>
                <w:b/>
                <w:vertAlign w:val="superscript"/>
              </w:rPr>
              <w:t>-30</w:t>
            </w:r>
            <w:r>
              <w:rPr>
                <w:rFonts w:ascii="Times New Roman" w:hAnsi="Times New Roman" w:eastAsia="Times New Roman" w:cs="Times New Roman"/>
                <w:b/>
              </w:rPr>
              <w:t xml:space="preserve"> C·m)</w:t>
            </w:r>
          </w:p>
        </w:tc>
        <w:tc>
          <w:tcPr>
            <w:tcBorders>
              <w:bottom w:val="single" w:sz="6" w:space="0" w:color="333333"/>
            </w:tcBorders>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tcBorders>
              <w:bottom w:val="single" w:sz="6" w:space="0" w:color="333333"/>
            </w:tcBorders>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tcBorders>
              <w:bottom w:val="single" w:sz="6" w:space="0" w:color="333333"/>
            </w:tcBorders>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tcBorders>
              <w:bottom w:val="single" w:sz="6" w:space="0" w:color="333333"/>
            </w:tcBorders>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odyText"/>
        <w:spacing w:before="120"/>
        <w:ind w:firstLine="420"/>
      </w:pP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分子量</w:t>
            </w:r>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FirstParagraph"/>
        <w:ind w:firstLine="420"/>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BodyText"/>
        <w:ind w:firstLine="420"/>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ind w:firstLine="42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odyText"/>
        <w:spacing w:before="120"/>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FirstParagraph"/>
        <w:ind w:firstLine="42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FirstParagraph"/>
        <w:ind w:firstLine="420"/>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BodyText"/>
        <w:ind w:firstLine="420"/>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FirstParagraph"/>
        <w:ind w:firstLine="420"/>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BodyText"/>
        <w:ind w:firstLine="420"/>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∠FCF</w:t>
      </w:r>
      <w:r>
        <w:rPr>
          <w:rFonts w:hint="eastAsia" w:ascii="Times New Roman" w:hAnsi="Times New Roman" w:eastAsia="FangSong" w:cs="Times New Roman"/>
        </w:rPr>
        <w:t>和</w:t>
      </w:r>
      <w:r>
        <w:rPr>
          <w:rFonts w:hint="eastAsia" w:ascii="Times New Roman" w:hAnsi="Times New Roman" w:eastAsia="Times New Roman" w:cs="Times New Roman"/>
        </w:rPr>
        <w:t>∠HCF，</w:t>
      </w:r>
      <w:r>
        <w:rPr>
          <w:rFonts w:hint="eastAsia" w:ascii="Times New Roman" w:hAnsi="Times New Roman" w:eastAsia="FangSong" w:cs="Times New Roman"/>
        </w:rPr>
        <w:t>并说明两者与</w:t>
      </w:r>
      <w:r>
        <w:rPr>
          <w:rFonts w:hint="eastAsia" w:ascii="Times New Roman" w:hAnsi="Times New Roman" w:eastAsia="Times New Roman" w:cs="Times New Roman"/>
        </w:rPr>
        <w:t>109.5°</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个取代基相同</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s</w:t>
      </w:r>
      <w:r>
        <w:rPr>
          <w:rFonts w:hint="eastAsia" w:ascii="Times New Roman" w:hAnsi="Times New Roman" w:eastAsia="FangSong" w:cs="Times New Roman"/>
        </w:rPr>
        <w:t>成分在</w:t>
      </w:r>
      <w:r>
        <w:rPr>
          <w:rFonts w:hint="eastAsia" w:ascii="Times New Roman" w:hAnsi="Times New Roman" w:eastAsia="Times New Roman" w:cs="Times New Roman"/>
        </w:rPr>
        <w:t>4</w:t>
      </w:r>
      <w:r>
        <w:rPr>
          <w:rFonts w:hint="eastAsia" w:ascii="Times New Roman" w:hAnsi="Times New Roman" w:eastAsia="FangSong" w:cs="Times New Roman"/>
        </w:rPr>
        <w:t>个方向均分</w:t>
      </w:r>
      <w:r>
        <w:rPr>
          <w:rFonts w:ascii="Times New Roman" w:hAnsi="Times New Roman" w:eastAsia="Times New Roman" w:cs="Times New Roman"/>
        </w:rPr>
        <w:t xml:space="preserve"> → ∠FCF = </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Bent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电负性小的</w:t>
      </w:r>
      <w:r>
        <w:rPr>
          <w:rFonts w:hint="eastAsia" w:ascii="Times New Roman" w:hAnsi="Times New Roman" w:eastAsia="Times New Roman" w:cs="Times New Roman"/>
        </w:rPr>
        <w:t>H</w:t>
      </w:r>
      <w:r>
        <w:rPr>
          <w:rFonts w:hint="eastAsia" w:ascii="Times New Roman" w:hAnsi="Times New Roman" w:eastAsia="FangSong" w:cs="Times New Roman"/>
        </w:rPr>
        <w:t>方向分配到更多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w:t>
      </w:r>
      <w:r>
        <w:rPr>
          <w:rFonts w:hint="eastAsia" w:ascii="Times New Roman" w:hAnsi="Times New Roman" w:eastAsia="FangSong" w:cs="Times New Roman"/>
        </w:rPr>
        <w:t>成分多则键角大</w:t>
      </w:r>
      <w:r>
        <w:rPr>
          <w:rFonts w:hint="eastAsia" w:ascii="Times New Roman" w:hAnsi="Times New Roman" w:eastAsia="Times New Roman" w:cs="Times New Roman"/>
        </w:rPr>
        <w:t>），</w:t>
      </w:r>
      <w:r>
        <w:rPr>
          <w:rFonts w:hint="eastAsia" w:ascii="Times New Roman" w:hAnsi="Times New Roman" w:eastAsia="FangSong" w:cs="Times New Roman"/>
        </w:rPr>
        <w:t>电负性大的</w:t>
      </w:r>
      <w:r>
        <w:rPr>
          <w:rFonts w:hint="eastAsia" w:ascii="Times New Roman" w:hAnsi="Times New Roman" w:eastAsia="Times New Roman" w:cs="Times New Roman"/>
        </w:rPr>
        <w:t>F</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∠HCF &gt; 109.5° &gt; ∠FCF。</w:t>
      </w:r>
    </w:p>
    <w:p>
      <w:pPr>
        <w:pStyle w:val="Body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本讲原题设</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w:t>
      </w:r>
      <w:r>
        <w:rPr>
          <w:rFonts w:hint="eastAsia" w:ascii="Times New Roman" w:hAnsi="Times New Roman" w:eastAsia="Times New Roman" w:cs="Times New Roman"/>
        </w:rPr>
        <w:t>109.5°」</w:t>
      </w:r>
      <w:r>
        <w:rPr>
          <w:rFonts w:hint="eastAsia" w:ascii="Times New Roman" w:hAnsi="Times New Roman" w:eastAsia="FangSong" w:cs="Times New Roman"/>
        </w:rPr>
        <w:t>与</w:t>
      </w:r>
      <w:r>
        <w:rPr>
          <w:rFonts w:hint="eastAsia" w:ascii="Times New Roman" w:hAnsi="Times New Roman" w:eastAsia="Times New Roman" w:cs="Times New Roman"/>
        </w:rPr>
        <w:t>Bent</w:t>
      </w:r>
      <w:r>
        <w:rPr>
          <w:rFonts w:hint="eastAsia" w:ascii="Times New Roman" w:hAnsi="Times New Roman" w:eastAsia="FangSong" w:cs="Times New Roman"/>
        </w:rPr>
        <w:t>规则的推论方向相反</w:t>
      </w:r>
      <w:r>
        <w:rPr>
          <w:rFonts w:hint="eastAsia" w:ascii="Times New Roman" w:hAnsi="Times New Roman" w:eastAsia="Times New Roman" w:cs="Times New Roman"/>
        </w:rPr>
        <w:t>，</w:t>
      </w:r>
      <w:r>
        <w:rPr>
          <w:rFonts w:hint="eastAsia" w:ascii="Times New Roman" w:hAnsi="Times New Roman" w:eastAsia="FangSong" w:cs="Times New Roman"/>
        </w:rPr>
        <w:t>已按规则改正题设与答案</w:t>
      </w:r>
      <w:r>
        <w:rPr>
          <w:rFonts w:hint="eastAsia" w:ascii="Times New Roman" w:hAnsi="Times New Roman" w:eastAsia="Times New Roman" w:cs="Times New Roman"/>
        </w:rPr>
        <w:t>（2026-09-23</w:t>
      </w:r>
      <w:r>
        <w:rPr>
          <w:rFonts w:ascii="Times New Roman" w:hAnsi="Times New Roman" w:eastAsia="Times New Roman" w:cs="Times New Roman"/>
        </w:rPr>
        <w:t xml:space="preserve"> </w:t>
      </w:r>
      <w:r>
        <w:rPr>
          <w:rFonts w:hint="eastAsia" w:ascii="Times New Roman" w:hAnsi="Times New Roman" w:eastAsia="FangSong" w:cs="Times New Roman"/>
        </w:rPr>
        <w:t>讲义语言规范改造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两者价电子数同为</w:t>
      </w:r>
      <w:r>
        <w:rPr>
          <w:rFonts w:hint="eastAsia" w:ascii="Times New Roman" w:hAnsi="Times New Roman" w:eastAsia="Times New Roman" w:cs="Times New Roman"/>
        </w:rPr>
        <w:t>14、</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键级同为</w:t>
      </w:r>
      <w:r>
        <w:rPr>
          <w:rFonts w:hint="eastAsia" w:ascii="Times New Roman" w:hAnsi="Times New Roman" w:eastAsia="Times New Roman" w:cs="Times New Roman"/>
        </w:rPr>
        <w:t>3，</w:t>
      </w:r>
      <w:r>
        <w:rPr>
          <w:rFonts w:hint="eastAsia" w:ascii="Times New Roman" w:hAnsi="Times New Roman" w:eastAsia="FangSong" w:cs="Times New Roman"/>
        </w:rPr>
        <w:t>基态均为抗磁性</w:t>
      </w:r>
      <w:r>
        <w:rPr>
          <w:rFonts w:hint="eastAsia" w:ascii="Times New Roman" w:hAnsi="Times New Roman" w:eastAsia="Times New Roman" w:cs="Times New Roman"/>
        </w:rPr>
        <w:t>，</w:t>
      </w:r>
      <w:r>
        <w:rPr>
          <w:rFonts w:hint="eastAsia" w:ascii="Times New Roman" w:hAnsi="Times New Roman" w:eastAsia="FangSong" w:cs="Times New Roman"/>
        </w:rPr>
        <w:t>最高占据轨道都是</w:t>
      </w:r>
      <w:r>
        <w:rPr>
          <w:rFonts w:hint="eastAsia" w:ascii="Times New Roman" w:hAnsi="Times New Roman" w:eastAsia="Times New Roman" w:cs="Times New Roman"/>
        </w:rPr>
        <w:t>σ</w:t>
      </w:r>
      <w:r>
        <w:rPr>
          <w:rFonts w:hint="eastAsia" w:ascii="Times New Roman" w:hAnsi="Times New Roman" w:eastAsia="FangSong" w:cs="Times New Roman"/>
        </w:rPr>
        <w:t>型</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5σ）。</w:t>
      </w:r>
      <w:r>
        <w:rPr>
          <w:rFonts w:hint="eastAsia" w:ascii="Times New Roman" w:hAnsi="Times New Roman" w:eastAsia="FangSong" w:cs="Times New Roman"/>
        </w:rPr>
        <w:t>不同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为同核</w:t>
      </w:r>
      <w:r>
        <w:rPr>
          <w:rFonts w:hint="eastAsia" w:ascii="Times New Roman" w:hAnsi="Times New Roman" w:eastAsia="Times New Roman" w:cs="Times New Roman"/>
        </w:rPr>
        <w:t>，</w:t>
      </w:r>
      <w:r>
        <w:rPr>
          <w:rFonts w:hint="eastAsia" w:ascii="Times New Roman" w:hAnsi="Times New Roman" w:eastAsia="FangSong" w:cs="Times New Roman"/>
        </w:rPr>
        <w:t>成键与反键</w:t>
      </w:r>
      <w:r>
        <w:rPr>
          <w:rFonts w:hint="eastAsia" w:ascii="Times New Roman" w:hAnsi="Times New Roman" w:eastAsia="Times New Roman" w:cs="Times New Roman"/>
        </w:rPr>
        <w:t>MO</w:t>
      </w:r>
      <w:r>
        <w:rPr>
          <w:rFonts w:hint="eastAsia" w:ascii="Times New Roman" w:hAnsi="Times New Roman" w:eastAsia="FangSong" w:cs="Times New Roman"/>
        </w:rPr>
        <w:t>对称分布于两侧</w:t>
      </w:r>
      <w:r>
        <w:rPr>
          <w:rFonts w:hint="eastAsia" w:ascii="Times New Roman" w:hAnsi="Times New Roman" w:eastAsia="Times New Roman" w:cs="Times New Roman"/>
        </w:rPr>
        <w:t>，</w:t>
      </w:r>
      <w:r>
        <w:rPr>
          <w:rFonts w:hint="eastAsia" w:ascii="Times New Roman" w:hAnsi="Times New Roman" w:eastAsia="FangSong" w:cs="Times New Roman"/>
        </w:rPr>
        <w:t>且因</w:t>
      </w:r>
      <w:r>
        <w:rPr>
          <w:rFonts w:hint="eastAsia" w:ascii="Times New Roman" w:hAnsi="Times New Roman" w:eastAsia="Times New Roman" w:cs="Times New Roman"/>
        </w:rPr>
        <w:t>2s-2p</w:t>
      </w:r>
      <w:r>
        <w:rPr>
          <w:rFonts w:hint="eastAsia" w:ascii="Times New Roman" w:hAnsi="Times New Roman" w:eastAsia="FangSong" w:cs="Times New Roman"/>
        </w:rPr>
        <w:t>混杂使</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低于</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为异核</w:t>
      </w:r>
      <w:r>
        <w:rPr>
          <w:rFonts w:hint="eastAsia" w:ascii="Times New Roman" w:hAnsi="Times New Roman" w:eastAsia="Times New Roman" w:cs="Times New Roman"/>
        </w:rPr>
        <w:t>，O</w:t>
      </w:r>
      <w:r>
        <w:rPr>
          <w:rFonts w:hint="eastAsia" w:ascii="Times New Roman" w:hAnsi="Times New Roman" w:eastAsia="FangSong" w:cs="Times New Roman"/>
        </w:rPr>
        <w:t>的原子轨道能量显著低于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O、</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r>
        <w:rPr>
          <w:rFonts w:hint="eastAsia" w:ascii="Times New Roman" w:hAnsi="Times New Roman" w:eastAsia="FangSong" w:cs="Times New Roman"/>
        </w:rPr>
        <w:t>能级分布不再对称</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p>
      <w:pPr>
        <w:spacing w:before="160" w:after="80"/>
      </w:pPr>
      <w:r>
        <w:pict>
          <v:rect style="width:0;height:1.5pt" o:hralign="center" o:hrstd="t" o:hr="t"/>
        </w:pict>
      </w:r>
    </w:p>
    <w:bookmarkEnd w:id="53"/>
    <w:bookmarkStart w:id="54"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项目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出处</w:t>
            </w:r>
          </w:p>
        </w:tc>
      </w:tr>
      <w:tr>
        <w:tc>
          <w:tcPr/>
          <w:p>
            <w:pPr>
              <w:pStyle w:val="Compact"/>
              <w:jc w:val="center"/>
            </w:pPr>
            <w:r>
              <w:rPr>
                <w:rFonts w:hint="eastAsia" w:ascii="Times New Roman" w:hAnsi="Times New Roman" w:eastAsia="FangSong" w:cs="Times New Roman"/>
              </w:rPr>
              <w:t xml:space="preserve">键型判据</w:t>
            </w:r>
          </w:p>
        </w:tc>
        <w:tc>
          <w:tcPr/>
          <w:p>
            <w:pPr>
              <w:pStyle w:val="Compact"/>
              <w:jc w:val="center"/>
            </w:pPr>
            <m:oMath>
              <m:r>
                <m:rPr>
                  <m:sty m:val="p"/>
                </m:rPr>
                <m:t>Δ</m:t>
              </m:r>
              <m:r>
                <m:t>χ</m:t>
              </m:r>
              <m:r>
                <m:rPr>
                  <m:sty m:val="p"/>
                </m:rPr>
                <m:t>&gt;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离子键为主</w:t>
            </w:r>
            <w:r>
              <w:rPr>
                <w:rFonts w:hint="eastAsia" w:ascii="Times New Roman" w:hAnsi="Times New Roman" w:eastAsia="Times New Roman" w:cs="Times New Roman"/>
              </w:rPr>
              <w:t>；</w:t>
            </w:r>
            <m:oMath>
              <m:r>
                <m:t>0.4</m:t>
              </m:r>
              <m:r>
                <m:rPr>
                  <m:sty m:val="p"/>
                </m:rPr>
                <m:t>&lt;</m:t>
              </m:r>
              <m:r>
                <m:rPr>
                  <m:sty m:val="p"/>
                </m:rPr>
                <m:t>Δ</m:t>
              </m:r>
              <m:r>
                <m:t>χ</m:t>
              </m:r>
              <m:r>
                <m:rPr>
                  <m:sty m:val="p"/>
                </m:rPr>
                <m:t>&lt;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极性共价键</w:t>
            </w:r>
            <w:r>
              <w:rPr>
                <w:rFonts w:hint="eastAsia" w:ascii="Times New Roman" w:hAnsi="Times New Roman" w:eastAsia="Times New Roman" w:cs="Times New Roman"/>
              </w:rPr>
              <w:t>；</w:t>
            </w:r>
            <m:oMath>
              <m:r>
                <m:rPr>
                  <m:sty m:val="p"/>
                </m:rPr>
                <m:t>Δ</m:t>
              </m:r>
              <m:r>
                <m:t>χ</m:t>
              </m:r>
              <m:r>
                <m:rPr>
                  <m:sty m:val="p"/>
                </m:rPr>
                <m:t>&lt;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w:t>
            </w:r>
          </w:p>
        </w:tc>
        <w:tc>
          <w:tcPr/>
          <w:p>
            <w:pPr>
              <w:pStyle w:val="Compact"/>
              <w:jc w:val="center"/>
            </w:p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w:r>
              <w:rPr>
                <w:rFonts w:hint="eastAsia" w:ascii="Times New Roman" w:hAnsi="Times New Roman" w:eastAsia="Times New Roman" w:cs="Times New Roman"/>
              </w:rPr>
              <w:t xml:space="preserve">（</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0.208）</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Mulliken </w:t>
            </w:r>
            <w:r>
              <w:rPr>
                <w:rFonts w:hint="eastAsia" w:ascii="Times New Roman" w:hAnsi="Times New Roman" w:eastAsia="FangSong" w:cs="Times New Roman"/>
              </w:rPr>
              <w:t xml:space="preserve">电负性</w:t>
            </w:r>
          </w:p>
        </w:tc>
        <w:tc>
          <w:tcPr/>
          <w:p>
            <w:pPr>
              <w:pStyle w:val="Compact"/>
              <w:jc w:val="center"/>
            </w:p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tc>
        <w:tc>
          <w:tcPr/>
          <w:p>
            <w:pPr>
              <w:pStyle w:val="Compact"/>
              <w:jc w:val="center"/>
            </w:pPr>
            <w:r>
              <w:rPr>
                <w:rFonts w:ascii="Times New Roman" w:hAnsi="Times New Roman" w:eastAsia="Times New Roman" w:cs="Times New Roman"/>
              </w:rPr>
              <w:t xml:space="preserve">§5.3</w:t>
            </w:r>
          </w:p>
        </w:tc>
      </w:tr>
      <w:tr>
        <w:tc>
          <w:tcPr/>
          <w:p>
            <w:pPr>
              <w:pStyle w:val="Compact"/>
              <w:jc w:val="center"/>
            </w:pPr>
            <w:r>
              <w:rPr>
                <w:rFonts w:hint="eastAsia" w:ascii="Times New Roman" w:hAnsi="Times New Roman" w:eastAsia="FangSong" w:cs="Times New Roman"/>
              </w:rPr>
              <w:t xml:space="preserve">电子对排斥序</w:t>
            </w:r>
          </w:p>
        </w:tc>
        <w:tc>
          <w:tcPr/>
          <w:p>
            <w:pPr>
              <w:pStyle w:val="Compact"/>
              <w:jc w:val="center"/>
            </w:pPr>
            <w:r>
              <w:rPr>
                <w:rFonts w:ascii="Times New Roman" w:hAnsi="Times New Roman" w:eastAsia="Times New Roman" w:cs="Times New Roman"/>
              </w:rPr>
              <w:t xml:space="preserve">LP–LP &gt; LP–BP &gt; </w:t>
            </w:r>
            <w:r>
              <w:rPr>
                <w:rFonts w:hint="eastAsia" w:ascii="Times New Roman" w:hAnsi="Times New Roman" w:eastAsia="Times New Roman" w:cs="Times New Roman"/>
              </w:rPr>
              <w:t xml:space="preserve">BP–BP；90°</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w:t>
            </w:r>
            <w:r>
              <w:rPr>
                <w:rFonts w:ascii="Times New Roman" w:hAnsi="Times New Roman" w:eastAsia="Times New Roman" w:cs="Times New Roman"/>
              </w:rPr>
              <w:t xml:space="preserve"> ≫ 120° ≫ 180°</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能级序</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σ</m:t>
                  </m:r>
                </m:e>
                <m:sub>
                  <m:r>
                    <m:t>2</m:t>
                  </m:r>
                  <m:r>
                    <m:t>s</m:t>
                  </m:r>
                </m:sub>
              </m:sSub>
              <m:r>
                <m:rPr>
                  <m:sty m:val="p"/>
                </m:rPr>
                <m:t>&lt;</m:t>
              </m:r>
              <m:sSubSup>
                <m:e>
                  <m:r>
                    <m:t>σ</m:t>
                  </m:r>
                </m:e>
                <m:sub>
                  <m:r>
                    <m:t>2</m:t>
                  </m:r>
                  <m:r>
                    <m:t>s</m:t>
                  </m:r>
                </m:sub>
                <m:sup>
                  <m:r>
                    <m:rPr>
                      <m:sty m:val="p"/>
                    </m:rPr>
                    <m:t>*</m:t>
                  </m:r>
                </m:sup>
              </m:sSubSup>
              <m:r>
                <m:rPr>
                  <m:sty m:val="p"/>
                </m:rPr>
                <m:t>&lt;</m:t>
              </m:r>
              <m:sSub>
                <m:e>
                  <m:r>
                    <m:t>π</m:t>
                  </m:r>
                </m:e>
                <m:sub>
                  <m:r>
                    <m:t>2</m:t>
                  </m:r>
                  <m:r>
                    <m:t>p</m:t>
                  </m:r>
                </m:sub>
              </m:sSub>
              <m:r>
                <m:rPr>
                  <m:sty m:val="p"/>
                </m:rPr>
                <m:t>&lt;</m:t>
              </m:r>
              <m:sSub>
                <m:e>
                  <m:r>
                    <m:t>σ</m:t>
                  </m:r>
                </m:e>
                <m:sub>
                  <m:r>
                    <m:t>2</m:t>
                  </m:r>
                  <m:r>
                    <m:t>p</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σ</m:t>
                  </m:r>
                </m:e>
                <m:sub>
                  <m:r>
                    <m:t>2</m:t>
                  </m:r>
                  <m:r>
                    <m:t>s</m:t>
                  </m:r>
                </m:sub>
              </m:sSub>
              <m:r>
                <m:rPr>
                  <m:sty m:val="p"/>
                </m:rPr>
                <m:t>&lt;</m:t>
              </m:r>
              <m:sSubSup>
                <m:e>
                  <m:r>
                    <m:t>σ</m:t>
                  </m:r>
                </m:e>
                <m:sub>
                  <m:r>
                    <m:t>2</m:t>
                  </m:r>
                  <m:r>
                    <m:t>s</m:t>
                  </m:r>
                </m:sub>
                <m:sup>
                  <m:r>
                    <m:rPr>
                      <m:sty m:val="p"/>
                    </m:rPr>
                    <m:t>*</m:t>
                  </m:r>
                </m:sup>
              </m:sSubSup>
              <m:r>
                <m:rPr>
                  <m:sty m:val="p"/>
                </m:rPr>
                <m:t>&lt;</m:t>
              </m:r>
              <m:sSub>
                <m:e>
                  <m:r>
                    <m:t>σ</m:t>
                  </m:r>
                </m:e>
                <m:sub>
                  <m:r>
                    <m:t>2</m:t>
                  </m:r>
                  <m:r>
                    <m:t>p</m:t>
                  </m:r>
                </m:sub>
              </m:sSub>
              <m:r>
                <m:rPr>
                  <m:sty m:val="p"/>
                </m:rPr>
                <m:t>&lt;</m:t>
              </m:r>
              <m:sSub>
                <m:e>
                  <m:r>
                    <m:t>π</m:t>
                  </m:r>
                </m:e>
                <m:sub>
                  <m:r>
                    <m:t>2</m:t>
                  </m:r>
                  <m:r>
                    <m:t>p</m:t>
                  </m:r>
                </m:sub>
              </m:sSub>
            </m:oMath>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FangSong" w:cs="Times New Roman"/>
              </w:rPr>
              <w:t xml:space="preserve">偶极矩单位</w:t>
            </w:r>
          </w:p>
        </w:tc>
        <w:tc>
          <w:tcPr/>
          <w:p>
            <w:pPr>
              <w:pStyle w:val="Compact"/>
              <w:jc w:val="center"/>
            </w:pPr>
            <m:oMath>
              <m:r>
                <m:t>1</m:t>
              </m:r>
              <m:r>
                <m:t> </m:t>
              </m:r>
              <m:r>
                <m:rPr>
                  <m:sty m:val="p"/>
                </m:rPr>
                <m:t>D</m:t>
              </m:r>
              <m:r>
                <m:rPr>
                  <m:sty m:val="p"/>
                </m:rPr>
                <m:t>=</m:t>
              </m:r>
              <m:r>
                <m:t>3.336</m:t>
              </m:r>
              <m:r>
                <m:rPr>
                  <m:sty m:val="p"/>
                </m:rPr>
                <m:t>×</m:t>
              </m:r>
              <m:sSup>
                <m:e>
                  <m:r>
                    <m:t>10</m:t>
                  </m:r>
                </m:e>
                <m:sup>
                  <m:r>
                    <m:rPr>
                      <m:sty m:val="p"/>
                    </m:rPr>
                    <m:t>−</m:t>
                  </m:r>
                  <m:r>
                    <m:t>30</m:t>
                  </m:r>
                </m:sup>
              </m:sSup>
              <m:r>
                <m:t> </m:t>
              </m:r>
              <m:r>
                <m:rPr>
                  <m:sty m:val="p"/>
                </m:rPr>
                <m:t>C</m:t>
              </m:r>
              <m:r>
                <m:rPr>
                  <m:sty m:val="p"/>
                </m:rPr>
                <m: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w:t>
            </w:r>
          </w:p>
        </w:tc>
      </w:tr>
      <w:tr>
        <w:tc>
          <w:tcPr/>
          <w:p>
            <w:pPr>
              <w:pStyle w:val="Compact"/>
              <w:jc w:val="center"/>
            </w:pPr>
            <w:r>
              <w:rPr>
                <w:rFonts w:hint="eastAsia" w:ascii="Times New Roman" w:hAnsi="Times New Roman" w:eastAsia="FangSong" w:cs="Times New Roman"/>
              </w:rPr>
              <w:t xml:space="preserve">对称性判据</w:t>
            </w:r>
          </w:p>
        </w:tc>
        <w:tc>
          <w:tcPr/>
          <w:p>
            <w:pPr>
              <w:pStyle w:val="Compact"/>
              <w:jc w:val="center"/>
            </w:pP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i ⇒ μ = </w:t>
            </w:r>
            <w:r>
              <w:rPr>
                <w:rFonts w:hint="eastAsia" w:ascii="Times New Roman" w:hAnsi="Times New Roman" w:eastAsia="Times New Roman" w:cs="Times New Roman"/>
              </w:rPr>
              <w:t>0；</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Times New Roman" w:cs="Times New Roman"/>
              </w:rPr>
              <w:t>24e：CO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；32e：SO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七</w:t>
            </w:r>
          </w:p>
        </w:tc>
      </w:tr>
    </w:tbl>
    <w:bookmarkEnd w:id="54"/>
    <w:bookmarkStart w:id="55" w:name="本讲小结"/>
    <w:p>
      <w:pPr>
        <w:pStyle w:val="Heading2"/>
        <w:spacing w:before="280" w:after="120"/>
      </w:pPr>
      <w:r>
        <w:rPr>
          <w:rFonts w:hint="eastAsia" w:ascii="Times New Roman" w:hAnsi="Times New Roman" w:eastAsia="SimHei" w:cs="Times New Roman"/>
        </w:rPr>
        <w:t xml:space="preserve">本讲小结</w:t>
      </w:r>
    </w:p>
    <w:p>
      <w:pPr>
        <w:pStyle w:val="FirstParagraph"/>
        <w:ind w:firstLine="420"/>
      </w:pPr>
      <w:r>
        <w:rPr>
          <w:rFonts w:hint="eastAsia" w:ascii="Times New Roman" w:hAnsi="Times New Roman" w:eastAsia="FangSong" w:cs="Times New Roman"/>
        </w:rPr>
        <w:t>本讲围绕一条主线展开</w:t>
      </w:r>
      <w:r>
        <w:rPr>
          <w:rFonts w:hint="eastAsia" w:ascii="Times New Roman" w:hAnsi="Times New Roman" w:eastAsia="Times New Roman" w:cs="Times New Roman"/>
        </w:rPr>
        <w:t>：</w:t>
      </w:r>
      <w:r>
        <w:rPr>
          <w:rFonts w:hint="eastAsia" w:ascii="Times New Roman" w:hAnsi="Times New Roman" w:eastAsia="FangSong" w:cs="Times New Roman"/>
          <w:b/>
          <w:bCs/>
        </w:rPr>
        <w:t>如何用化学键的语言把一个分子的结构说清楚</w:t>
      </w:r>
      <w:r>
        <w:rPr>
          <w:rFonts w:hint="eastAsia" w:ascii="Times New Roman" w:hAnsi="Times New Roman" w:eastAsia="Times New Roman" w:cs="Times New Roman"/>
          <w:b/>
          <w:bCs/>
        </w:rPr>
        <w:t>，</w:t>
      </w:r>
      <w:r>
        <w:rPr>
          <w:rFonts w:hint="eastAsia" w:ascii="Times New Roman" w:hAnsi="Times New Roman" w:eastAsia="FangSong" w:cs="Times New Roman"/>
          <w:b/>
          <w:bCs/>
        </w:rPr>
        <w:t>并解释它的性质</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起点是</w:t>
      </w:r>
      <w:r>
        <w:rPr>
          <w:rFonts w:hint="eastAsia" w:ascii="Times New Roman" w:hAnsi="Times New Roman" w:eastAsia="Times New Roman" w:cs="Times New Roman"/>
        </w:rPr>
        <w:t>「</w:t>
      </w:r>
      <w:r>
        <w:rPr>
          <w:rFonts w:hint="eastAsia" w:ascii="Times New Roman" w:hAnsi="Times New Roman" w:eastAsia="FangSong" w:cs="Times New Roman"/>
        </w:rPr>
        <w:t>为什么成键</w:t>
      </w:r>
      <w:r>
        <w:rPr>
          <w:rFonts w:hint="eastAsia" w:ascii="Times New Roman" w:hAnsi="Times New Roman" w:eastAsia="Times New Roman" w:cs="Times New Roman"/>
        </w:rPr>
        <w:t>」：</w:t>
      </w:r>
      <w:r>
        <w:rPr>
          <w:rFonts w:hint="eastAsia" w:ascii="Times New Roman" w:hAnsi="Times New Roman" w:eastAsia="FangSong" w:cs="Times New Roman"/>
        </w:rPr>
        <w:t>体系总能量降低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的势能曲线给出定量图像</w:t>
      </w:r>
      <w:r>
        <w:rPr>
          <w:rFonts w:hint="eastAsia" w:ascii="Times New Roman" w:hAnsi="Times New Roman" w:eastAsia="Times New Roman" w:cs="Times New Roman"/>
        </w:rPr>
        <w:t>（</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自旋平行的电子因</w:t>
      </w:r>
      <w:r>
        <w:rPr>
          <w:rFonts w:ascii="Times New Roman" w:hAnsi="Times New Roman" w:eastAsia="Times New Roman" w:cs="Times New Roman"/>
        </w:rPr>
        <w:t xml:space="preserve"> Pauli </w:t>
      </w:r>
      <w:r>
        <w:rPr>
          <w:rFonts w:hint="eastAsia" w:ascii="Times New Roman" w:hAnsi="Times New Roman" w:eastAsia="FangSong" w:cs="Times New Roman"/>
        </w:rPr>
        <w:t>原理不能成键</w:t>
      </w:r>
      <w:r>
        <w:rPr>
          <w:rFonts w:hint="eastAsia" w:ascii="Times New Roman" w:hAnsi="Times New Roman" w:eastAsia="Times New Roman" w:cs="Times New Roman"/>
        </w:rPr>
        <w:t>。</w:t>
      </w:r>
      <w:r>
        <w:rPr>
          <w:rFonts w:hint="eastAsia" w:ascii="Times New Roman" w:hAnsi="Times New Roman" w:eastAsia="FangSong" w:cs="Times New Roman"/>
        </w:rPr>
        <w:t>键型由电负性差决定</w:t>
      </w:r>
      <w:r>
        <w:rPr>
          <w:rFonts w:hint="eastAsia" w:ascii="Times New Roman" w:hAnsi="Times New Roman" w:eastAsia="Times New Roman" w:cs="Times New Roman"/>
        </w:rPr>
        <w:t>，</w:t>
      </w:r>
      <w:r>
        <w:rPr>
          <w:rFonts w:hint="eastAsia" w:ascii="Times New Roman" w:hAnsi="Times New Roman" w:eastAsia="FangSong" w:cs="Times New Roman"/>
        </w:rPr>
        <w:t>而电负性是贯穿全讲的核心标度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由此进入结构预测的三级工具链</w:t>
      </w:r>
      <w:r>
        <w:rPr>
          <w:rFonts w:hint="eastAsia"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结构</w:t>
      </w:r>
      <w:r>
        <w:rPr>
          <w:rFonts w:hint="eastAsia" w:ascii="Times New Roman" w:hAnsi="Times New Roman" w:eastAsia="FangSong" w:cs="Times New Roman"/>
        </w:rPr>
        <w:t>搭骨架</w:t>
      </w:r>
      <w:r>
        <w:rPr>
          <w:rFonts w:hint="eastAsia" w:ascii="Times New Roman" w:hAnsi="Times New Roman" w:eastAsia="Times New Roman" w:cs="Times New Roman"/>
        </w:rPr>
        <w:t>、</w:t>
      </w:r>
      <w:r>
        <w:rPr>
          <w:rFonts w:hint="eastAsia" w:ascii="Times New Roman" w:hAnsi="Times New Roman" w:eastAsia="FangSong" w:cs="Times New Roman"/>
        </w:rPr>
        <w:t>用形式电荷在共振式之间做选择</w:t>
      </w:r>
      <w:r>
        <w:rPr>
          <w:rFonts w:hint="eastAsia" w:ascii="Times New Roman" w:hAnsi="Times New Roman" w:eastAsia="Times New Roman" w:cs="Times New Roman"/>
        </w:rPr>
        <w:t>；</w:t>
      </w:r>
      <w:r>
        <w:rPr>
          <w:rFonts w:ascii="Times New Roman" w:hAnsi="Times New Roman" w:eastAsia="Times New Roman" w:cs="Times New Roman"/>
          <w:b/>
          <w:bCs/>
        </w:rPr>
        <w:t xml:space="preserve">VSEPR</w:t>
      </w:r>
      <w:r>
        <w:rPr>
          <w:rFonts w:ascii="Times New Roman" w:hAnsi="Times New Roman" w:eastAsia="Times New Roman" w:cs="Times New Roman"/>
        </w:rPr>
        <w:t xml:space="preserve"> </w:t>
      </w:r>
      <w:r>
        <w:rPr>
          <w:rFonts w:hint="eastAsia" w:ascii="Times New Roman" w:hAnsi="Times New Roman" w:eastAsia="FangSong" w:cs="Times New Roman"/>
        </w:rPr>
        <w:t>由价层电子对数定几何</w:t>
      </w:r>
      <w:r>
        <w:rPr>
          <w:rFonts w:hint="eastAsia" w:ascii="Times New Roman" w:hAnsi="Times New Roman" w:eastAsia="Times New Roman" w:cs="Times New Roman"/>
        </w:rPr>
        <w:t>，</w:t>
      </w:r>
      <w:r>
        <w:rPr>
          <w:rFonts w:hint="eastAsia" w:ascii="Times New Roman" w:hAnsi="Times New Roman" w:eastAsia="FangSong" w:cs="Times New Roman"/>
        </w:rPr>
        <w:t>孤对电子因排斥更强而压缩键角</w:t>
      </w:r>
      <w:r>
        <w:rPr>
          <w:rFonts w:hint="eastAsia" w:ascii="Times New Roman" w:hAnsi="Times New Roman" w:eastAsia="Times New Roman" w:cs="Times New Roman"/>
        </w:rPr>
        <w:t>，</w:t>
      </w:r>
      <w:r>
        <w:rPr>
          <w:rFonts w:hint="eastAsia" w:ascii="Times New Roman" w:hAnsi="Times New Roman" w:eastAsia="FangSong" w:cs="Times New Roman"/>
        </w:rPr>
        <w:t>并在三角双锥中优先占据赤道位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杂化轨道</w:t>
      </w:r>
      <w:r>
        <w:rPr>
          <w:rFonts w:hint="eastAsia" w:ascii="Times New Roman" w:hAnsi="Times New Roman" w:eastAsia="FangSong" w:cs="Times New Roman"/>
        </w:rPr>
        <w:t>说明这些几何对应的成键轨道</w:t>
      </w:r>
      <w:r>
        <w:rPr>
          <w:rFonts w:hint="eastAsia" w:ascii="Times New Roman" w:hAnsi="Times New Roman" w:eastAsia="Times New Roman" w:cs="Times New Roman"/>
        </w:rPr>
        <w:t>，</w:t>
      </w:r>
      <w:r>
        <w:rPr>
          <w:rFonts w:hint="eastAsia" w:ascii="Times New Roman" w:hAnsi="Times New Roman" w:eastAsia="FangSong" w:cs="Times New Roman"/>
        </w:rPr>
        <w:t>并解释不等性杂化</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带来的键角偏差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当定域键模型解释不了时</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的顺磁性</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的不存在</w:t>
      </w:r>
      <w:r>
        <w:rPr>
          <w:rFonts w:hint="eastAsia" w:ascii="Times New Roman" w:hAnsi="Times New Roman" w:eastAsia="Times New Roman" w:cs="Times New Roman"/>
        </w:rPr>
        <w:t>——</w:t>
      </w:r>
      <w:r>
        <w:rPr>
          <w:rFonts w:hint="eastAsia" w:ascii="Times New Roman" w:hAnsi="Times New Roman" w:eastAsia="FangSong" w:cs="Times New Roman"/>
        </w:rPr>
        <w:t>就需要</w:t>
      </w:r>
      <w:r>
        <w:rPr>
          <w:rFonts w:ascii="Times New Roman" w:hAnsi="Times New Roman" w:eastAsia="Times New Roman" w:cs="Times New Roman"/>
        </w:rPr>
        <w:t xml:space="preserve"> </w:t>
      </w: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理论</w:t>
      </w:r>
      <w:r>
        <w:rPr>
          <w:rFonts w:hint="eastAsia" w:ascii="Times New Roman" w:hAnsi="Times New Roman" w:eastAsia="Times New Roman" w:cs="Times New Roman"/>
        </w:rPr>
        <w:t>：</w:t>
      </w:r>
      <w:r>
        <w:rPr>
          <w:rFonts w:hint="eastAsia" w:ascii="Times New Roman" w:hAnsi="Times New Roman" w:eastAsia="FangSong" w:cs="Times New Roman"/>
        </w:rPr>
        <w:t>电子属于整个分子</w:t>
      </w:r>
      <w:r>
        <w:rPr>
          <w:rFonts w:hint="eastAsia" w:ascii="Times New Roman" w:hAnsi="Times New Roman" w:eastAsia="Times New Roman" w:cs="Times New Roman"/>
        </w:rPr>
        <w:t>，</w:t>
      </w:r>
      <w:r>
        <w:rPr>
          <w:rFonts w:hint="eastAsia" w:ascii="Times New Roman" w:hAnsi="Times New Roman" w:eastAsia="FangSong" w:cs="Times New Roman"/>
        </w:rPr>
        <w:t>键级与磁性由能级填充直接给出</w:t>
      </w:r>
      <w:r>
        <w:rPr>
          <w:rFonts w:hint="eastAsia" w:ascii="Times New Roman" w:hAnsi="Times New Roman" w:eastAsia="Times New Roman" w:cs="Times New Roman"/>
        </w:rPr>
        <w:t>，</w:t>
      </w:r>
      <w:r>
        <w:rPr>
          <w:rFonts w:hint="eastAsia" w:ascii="Times New Roman" w:hAnsi="Times New Roman" w:eastAsia="FangSong" w:cs="Times New Roman"/>
        </w:rPr>
        <w:t>第二周期两组能级顺序的差异来自</w:t>
      </w:r>
      <w:r>
        <w:rPr>
          <w:rFonts w:ascii="Times New Roman" w:hAnsi="Times New Roman" w:eastAsia="Times New Roman" w:cs="Times New Roman"/>
        </w:rPr>
        <w:t xml:space="preserve"> s-p </w:t>
      </w:r>
      <w:r>
        <w:rPr>
          <w:rFonts w:hint="eastAsia" w:ascii="Times New Roman" w:hAnsi="Times New Roman" w:eastAsia="FangSong" w:cs="Times New Roman"/>
        </w:rPr>
        <w:t>混杂的强弱</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的离域视角进一步通向</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w:t>
      </w:r>
      <w:r>
        <w:rPr>
          <w:rFonts w:hint="eastAsia" w:ascii="Times New Roman" w:hAnsi="Times New Roman" w:eastAsia="FangSong" w:cs="Times New Roman"/>
        </w:rPr>
        <w:t>后者是竞赛中快速迁移未知结构的最短路径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最后三层是精细与性质</w:t>
      </w:r>
      <w:r>
        <w:rPr>
          <w:rFonts w:hint="eastAsia" w:ascii="Times New Roman" w:hAnsi="Times New Roman" w:eastAsia="Times New Roman" w:cs="Times New Roman"/>
        </w:rPr>
        <w:t>：</w:t>
      </w: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Gauche </w:t>
      </w:r>
      <w:r>
        <w:rPr>
          <w:rFonts w:hint="eastAsia" w:ascii="Times New Roman" w:hAnsi="Times New Roman" w:eastAsia="FangSong" w:cs="Times New Roman"/>
          <w:b/>
          <w:bCs/>
        </w:rPr>
        <w:t xml:space="preserve">效应</w:t>
      </w:r>
      <w:r>
        <w:rPr>
          <w:rFonts w:hint="eastAsia" w:ascii="Times New Roman" w:hAnsi="Times New Roman" w:eastAsia="FangSong" w:cs="Times New Roman"/>
        </w:rPr>
        <w:t>处理的都是</w:t>
      </w:r>
      <w:r>
        <w:rPr>
          <w:rFonts w:hint="eastAsia" w:ascii="Times New Roman" w:hAnsi="Times New Roman" w:eastAsia="Times New Roman" w:cs="Times New Roman"/>
        </w:rPr>
        <w:t>”</w:t>
      </w:r>
      <w:r>
        <w:rPr>
          <w:rFonts w:hint="eastAsia" w:ascii="Times New Roman" w:hAnsi="Times New Roman" w:eastAsia="FangSong" w:cs="Times New Roman"/>
        </w:rPr>
        <w:t>标准模型之外的那一点偏差</w:t>
      </w:r>
      <w:r>
        <w:rPr>
          <w:rFonts w:hint="eastAsia" w:ascii="Times New Roman" w:hAnsi="Times New Roman" w:eastAsia="Times New Roman" w:cs="Times New Roman"/>
        </w:rPr>
        <w:t>”，</w:t>
      </w:r>
      <w:r>
        <w:rPr>
          <w:rFonts w:hint="eastAsia" w:ascii="Times New Roman" w:hAnsi="Times New Roman" w:eastAsia="FangSong" w:cs="Times New Roman"/>
        </w:rPr>
        <w:t>前者讲</w:t>
      </w:r>
      <w:r>
        <w:rPr>
          <w:rFonts w:ascii="Times New Roman" w:hAnsi="Times New Roman" w:eastAsia="Times New Roman" w:cs="Times New Roman"/>
        </w:rPr>
        <w:t xml:space="preserve"> s </w:t>
      </w:r>
      <w:r>
        <w:rPr>
          <w:rFonts w:hint="eastAsia" w:ascii="Times New Roman" w:hAnsi="Times New Roman" w:eastAsia="FangSong" w:cs="Times New Roman"/>
        </w:rPr>
        <w:t>成分如何按取代基电负性重新分配</w:t>
      </w:r>
      <w:r>
        <w:rPr>
          <w:rFonts w:hint="eastAsia" w:ascii="Times New Roman" w:hAnsi="Times New Roman" w:eastAsia="Times New Roman" w:cs="Times New Roman"/>
        </w:rPr>
        <w:t>，</w:t>
      </w:r>
      <w:r>
        <w:rPr>
          <w:rFonts w:hint="eastAsia" w:ascii="Times New Roman" w:hAnsi="Times New Roman" w:eastAsia="FangSong" w:cs="Times New Roman"/>
        </w:rPr>
        <w:t>后者讲</w:t>
      </w:r>
      <w:r>
        <w:rPr>
          <w:rFonts w:ascii="Times New Roman" w:hAnsi="Times New Roman" w:eastAsia="Times New Roman" w:cs="Times New Roman"/>
        </w:rPr>
        <w:t xml:space="preserve"> σ→σ* </w:t>
      </w:r>
      <w:r>
        <w:rPr>
          <w:rFonts w:hint="eastAsia" w:ascii="Times New Roman" w:hAnsi="Times New Roman" w:eastAsia="FangSong" w:cs="Times New Roman"/>
        </w:rPr>
        <w:t>超共轭如何压过偶极排斥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偶极矩与对称性</w:t>
      </w:r>
      <w:r>
        <w:rPr>
          <w:rFonts w:hint="eastAsia" w:ascii="Times New Roman" w:hAnsi="Times New Roman" w:eastAsia="FangSong" w:cs="Times New Roman"/>
        </w:rPr>
        <w:t>把几何翻译成极性</w:t>
      </w:r>
      <w:r>
        <w:rPr>
          <w:rFonts w:hint="eastAsia" w:ascii="Times New Roman" w:hAnsi="Times New Roman" w:eastAsia="Times New Roman" w:cs="Times New Roman"/>
        </w:rPr>
        <w:t>（</w:t>
      </w:r>
      <w:r>
        <w:rPr>
          <w:rFonts w:hint="eastAsia" w:ascii="Times New Roman" w:hAnsi="Times New Roman" w:eastAsia="FangSong" w:cs="Times New Roman"/>
        </w:rPr>
        <w:t>有对称中心则</w:t>
      </w:r>
      <w:r>
        <w:rPr>
          <w:rFonts w:ascii="Times New Roman" w:hAnsi="Times New Roman" w:eastAsia="Times New Roman" w:cs="Times New Roman"/>
        </w:rPr>
        <w:t xml:space="preserve"> μ = </w:t>
      </w:r>
      <w:r>
        <w:rPr>
          <w:rFonts w:hint="eastAsia" w:ascii="Times New Roman" w:hAnsi="Times New Roman" w:eastAsia="Times New Roman" w:cs="Times New Roman"/>
        </w:rPr>
        <w:t xml:space="preserve">0）；</w:t>
      </w:r>
      <w:r>
        <w:rPr>
          <w:rFonts w:hint="eastAsia" w:ascii="Times New Roman" w:hAnsi="Times New Roman" w:eastAsia="FangSong" w:cs="Times New Roman"/>
          <w:b/>
          <w:bCs/>
        </w:rPr>
        <w:t xml:space="preserve">分子间力与氢键</w:t>
      </w:r>
      <w:r>
        <w:rPr>
          <w:rFonts w:hint="eastAsia" w:ascii="Times New Roman" w:hAnsi="Times New Roman" w:eastAsia="FangSong" w:cs="Times New Roman"/>
        </w:rPr>
        <w:t>解释熔沸点等宏观物性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金属键与能带</w:t>
      </w:r>
      <w:r>
        <w:rPr>
          <w:rFonts w:hint="eastAsia" w:ascii="Times New Roman" w:hAnsi="Times New Roman" w:eastAsia="FangSong" w:cs="Times New Roman"/>
        </w:rPr>
        <w:t xml:space="preserve">则把</w:t>
      </w:r>
      <w:r>
        <w:rPr>
          <w:rFonts w:ascii="Times New Roman" w:hAnsi="Times New Roman" w:eastAsia="Times New Roman" w:cs="Times New Roman"/>
        </w:rPr>
        <w:t xml:space="preserve"> MO </w:t>
      </w:r>
      <w:r>
        <w:rPr>
          <w:rFonts w:hint="eastAsia" w:ascii="Times New Roman" w:hAnsi="Times New Roman" w:eastAsia="FangSong" w:cs="Times New Roman"/>
        </w:rPr>
        <w:t>的思路推广到无限体系</w:t>
      </w:r>
      <w:r>
        <w:rPr>
          <w:rFonts w:hint="eastAsia" w:ascii="Times New Roman" w:hAnsi="Times New Roman" w:eastAsia="Times New Roman" w:cs="Times New Roman"/>
        </w:rPr>
        <w:t>，</w:t>
      </w:r>
      <w:r>
        <w:rPr>
          <w:rFonts w:hint="eastAsia" w:ascii="Times New Roman" w:hAnsi="Times New Roman" w:eastAsia="FangSong" w:cs="Times New Roman"/>
        </w:rPr>
        <w:t>为导体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绝缘体的分类提供依据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一条贯穿全讲的提醒</w:t>
      </w:r>
      <w:r>
        <w:rPr>
          <w:rFonts w:hint="eastAsia" w:ascii="Times New Roman" w:hAnsi="Times New Roman" w:eastAsia="Times New Roman" w:cs="Times New Roman"/>
        </w:rPr>
        <w:t>：</w:t>
      </w:r>
      <w:r>
        <w:rPr>
          <w:rFonts w:hint="eastAsia" w:ascii="Times New Roman" w:hAnsi="Times New Roman" w:eastAsia="FangSong" w:cs="Times New Roman"/>
        </w:rPr>
        <w:t>几何构型必须</w:t>
      </w:r>
      <w:r>
        <w:rPr>
          <w:rFonts w:hint="eastAsia" w:ascii="Times New Roman" w:hAnsi="Times New Roman" w:eastAsia="FangSong" w:cs="Times New Roman"/>
          <w:b/>
          <w:bCs/>
        </w:rPr>
        <w:t xml:space="preserve">先数电子对数再定杂化</w:t>
      </w:r>
      <w:r>
        <w:rPr>
          <w:rFonts w:hint="eastAsia" w:ascii="Times New Roman" w:hAnsi="Times New Roman" w:eastAsia="Times New Roman" w:cs="Times New Roman"/>
        </w:rPr>
        <w:t>，</w:t>
      </w:r>
      <w:r>
        <w:rPr>
          <w:rFonts w:hint="eastAsia" w:ascii="Times New Roman" w:hAnsi="Times New Roman" w:eastAsia="FangSong" w:cs="Times New Roman"/>
        </w:rPr>
        <w:t>不能由分子形状反推</w:t>
      </w:r>
      <w:r>
        <w:rPr>
          <w:rFonts w:hint="eastAsia" w:ascii="Times New Roman" w:hAnsi="Times New Roman" w:eastAsia="Times New Roman" w:cs="Times New Roman"/>
        </w:rPr>
        <w:t>——</w:t>
      </w:r>
      <w:r>
        <w:rPr>
          <w:rFonts w:hint="eastAsia" w:ascii="Times New Roman" w:hAnsi="Times New Roman" w:eastAsia="FangSong" w:cs="Times New Roman"/>
        </w:rPr>
        <w:t>这是本讲最高频的错误来源</w:t>
      </w:r>
      <w:r>
        <w:rPr>
          <w:rFonts w:hint="eastAsia" w:ascii="Times New Roman" w:hAnsi="Times New Roman" w:eastAsia="Times New Roman" w:cs="Times New Roman"/>
        </w:rPr>
        <w:t>。</w: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2026-10-02T23:39:49Z</dcterms:created>
  <dcterms:modified xsi:type="dcterms:W3CDTF">2026-10-02T23:39:49Z</dcterms:modified>
</cp:coreProperties>
</file>

<file path=docProps/custom.xml><?xml version="1.0" encoding="utf-8"?>
<Properties xmlns="http://schemas.openxmlformats.org/officeDocument/2006/custom-properties" xmlns:vt="http://schemas.openxmlformats.org/officeDocument/2006/docPropsVTypes"/>
</file>