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型等常见结构</w:t>
            </w:r>
          </w:p>
        </w:tc>
      </w:tr>
    </w:tbl>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ind w:firstLine="420"/>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ind w:firstLine="42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定义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ind w:firstLine="420"/>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771934"/>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2667000" cy="77193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ind w:firstLine="420"/>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结构基元识别示例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2667000" cy="359906"/>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2667000" cy="35990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966787"/>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2667000" cy="96678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2544096"/>
            <wp:effectExtent b="0" l="0" r="0" t="0"/>
            <wp:docPr descr=""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2667000" cy="254409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odyText"/>
        <w:ind w:firstLine="420"/>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ind w:firstLine="42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ind w:firstLine="420"/>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ind w:firstLine="42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点阵点位置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顶角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棱上</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面上</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ind w:firstLine="42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c>
          <w:tcPr>
            <w:tcBorders>
              <w:bottom w:val="single" w:sz="6" w:space="0" w:color="333333"/>
            </w:tcBorders>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tcBorders>
              <w:bottom w:val="single" w:sz="6" w:space="0" w:color="333333"/>
            </w:tcBorders>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tcBorders>
              <w:bottom w:val="single" w:sz="6" w:space="0" w:color="333333"/>
            </w:tcBorders>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tcBorders>
              <w:bottom w:val="single" w:sz="6" w:space="0" w:color="333333"/>
            </w:tcBorders>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53166"/>
            <wp:effectExtent b="0" l="0" r="0" t="0"/>
            <wp:docPr descr=""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2667000" cy="205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1966795"/>
            <wp:effectExtent b="0" l="0" r="0" t="0"/>
            <wp:docPr descr=""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2667000" cy="196679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2005392"/>
            <wp:effectExtent b="0" l="0" r="0" t="0"/>
            <wp:docPr descr=""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2667000" cy="2005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ind w:firstLine="42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85"/>
        <w:gridCol w:w="1508"/>
        <w:gridCol w:w="1508"/>
        <w:gridCol w:w="1508"/>
        <w:gridCol w:w="150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轴长关系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轴角关系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对称性要求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odyText"/>
        <w:spacing w:before="120"/>
        <w:ind w:firstLine="420"/>
      </w:pPr>
      <w:r>
        <w:rPr>
          <w:rFonts w:hint="eastAsia" w:ascii="Times New Roman" w:hAnsi="Times New Roman" w:eastAsia="FangSong" w:cs="Times New Roman"/>
        </w:rPr>
        <w:t xml:space="preserve">晶系判断口诀</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odyText"/>
        <w:ind w:firstLine="420"/>
      </w:pP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 xml:space="preserve">a/pm</w:t>
            </w:r>
          </w:p>
        </w:tc>
        <w:tc>
          <w:tcPr>
            <w:tcBorders>
              <w:bottom w:val="single" w:sz="6" w:space="0" w:color="333333"/>
            </w:tcBorders>
          </w:tcPr>
          <w:p>
            <w:pPr>
              <w:pStyle w:val="Compact"/>
              <w:jc w:val="center"/>
            </w:pPr>
            <w:r>
              <w:rPr>
                <w:rFonts w:ascii="Times New Roman" w:hAnsi="Times New Roman" w:eastAsia="Times New Roman" w:cs="Times New Roman"/>
                <w:b/>
              </w:rPr>
              <w:t xml:space="preserve">b/pm</w:t>
            </w:r>
          </w:p>
        </w:tc>
        <w:tc>
          <w:tcPr>
            <w:tcBorders>
              <w:bottom w:val="single" w:sz="6" w:space="0" w:color="333333"/>
            </w:tcBorders>
          </w:tcPr>
          <w:p>
            <w:pPr>
              <w:pStyle w:val="Compact"/>
              <w:jc w:val="center"/>
            </w:pPr>
            <w:r>
              <w:rPr>
                <w:rFonts w:ascii="Times New Roman" w:hAnsi="Times New Roman" w:eastAsia="Times New Roman" w:cs="Times New Roman"/>
                <w:b/>
              </w:rPr>
              <w:t xml:space="preserve">c/pm</w:t>
            </w:r>
          </w:p>
        </w:tc>
        <w:tc>
          <w:tcPr>
            <w:tcBorders>
              <w:bottom w:val="single" w:sz="6" w:space="0" w:color="333333"/>
            </w:tcBorders>
          </w:tcPr>
          <w:p>
            <w:pPr>
              <w:pStyle w:val="Compact"/>
              <w:jc w:val="center"/>
            </w:pPr>
            <w:r>
              <w:rPr>
                <w:rFonts w:ascii="Times New Roman" w:hAnsi="Times New Roman" w:eastAsia="Times New Roman" w:cs="Times New Roman"/>
                <w:b/>
              </w:rPr>
              <w:t xml:space="preserve">α</w:t>
            </w:r>
          </w:p>
        </w:tc>
        <w:tc>
          <w:tcPr>
            <w:tcBorders>
              <w:bottom w:val="single" w:sz="6" w:space="0" w:color="333333"/>
            </w:tcBorders>
          </w:tcPr>
          <w:p>
            <w:pPr>
              <w:pStyle w:val="Compact"/>
              <w:jc w:val="center"/>
            </w:pPr>
            <w:r>
              <w:rPr>
                <w:rFonts w:ascii="Times New Roman" w:hAnsi="Times New Roman" w:eastAsia="Times New Roman" w:cs="Times New Roman"/>
                <w:b/>
              </w:rPr>
              <w:t xml:space="preserve">β</w:t>
            </w:r>
          </w:p>
        </w:tc>
        <w:tc>
          <w:tcPr>
            <w:tcBorders>
              <w:bottom w:val="single" w:sz="6" w:space="0" w:color="333333"/>
            </w:tcBorders>
          </w:tcPr>
          <w:p>
            <w:pPr>
              <w:pStyle w:val="Compact"/>
              <w:jc w:val="center"/>
            </w:pPr>
            <w:r>
              <w:rPr>
                <w:rFonts w:ascii="Times New Roman" w:hAnsi="Times New Roman" w:eastAsia="Times New Roman" w:cs="Times New Roman"/>
                <w:b/>
              </w:rPr>
              <w:t xml:space="preserve">γ</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ind w:firstLine="42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晶胞参数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ind w:firstLine="42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每个晶胞含点阵点数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223349"/>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3223349"/>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3223349"/>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ind w:firstLine="420"/>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2667000" cy="2807795"/>
            <wp:effectExtent b="0" l="0" r="0" t="0"/>
            <wp:docPr descr=""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2667000" cy="280779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坐标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ind w:firstLine="42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对晶胞的贡献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2667000" cy="1399200"/>
            <wp:effectExtent b="0" l="0" r="0" t="0"/>
            <wp:docPr descr=""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ind w:firstLine="420"/>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ind w:firstLine="420"/>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003002"/>
            <wp:effectExtent b="0" l="0" r="0" t="0"/>
            <wp:docPr descr=""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2667000" cy="100300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2667000" cy="1047148"/>
            <wp:effectExtent b="0" l="0" r="0" t="0"/>
            <wp:docPr descr=""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2667000" cy="10471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 xml:space="preserve">读晶胞投影图的三步法</w:t>
      </w:r>
    </w:p>
    <w:p>
      <w:pPr>
        <w:pStyle w:val="BodyText"/>
        <w:ind w:firstLine="420"/>
      </w:pPr>
      <w:r>
        <w:rPr>
          <w:rFonts w:hint="eastAsia" w:ascii="Times New Roman" w:hAnsi="Times New Roman" w:eastAsia="FangSong" w:cs="Times New Roman"/>
        </w:rPr>
        <w:t>易错</w:t>
      </w:r>
      <w:r>
        <w:rPr>
          <w:rFonts w:hint="eastAsia" w:ascii="Times New Roman" w:hAnsi="Times New Roman" w:eastAsia="Times New Roman" w:cs="Times New Roman"/>
        </w:rPr>
        <w:t>：</w:t>
      </w:r>
      <w:r>
        <w:rPr>
          <w:rFonts w:hint="eastAsia" w:ascii="Times New Roman" w:hAnsi="Times New Roman" w:eastAsia="FangSong" w:cs="Times New Roman"/>
        </w:rPr>
        <w:t>投影重合点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同一原子</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ind w:firstLine="420"/>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odyText"/>
        <w:ind w:firstLine="420"/>
      </w:pP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ind w:firstLine="4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截距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2667000" cy="929614"/>
            <wp:effectExtent b="0" l="0" r="0" t="0"/>
            <wp:docPr descr=""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2667000" cy="929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ind w:firstLine="420"/>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1"/>
        </w:numPr>
        <w:ind w:firstLine="420"/>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1"/>
        </w:numPr>
        <w:ind w:firstLine="420"/>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1"/>
        </w:numPr>
        <w:ind w:firstLine="420"/>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1"/>
        </w:numPr>
        <w:ind w:firstLine="420"/>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[!warning] </w:t>
      </w:r>
      <w:r>
        <w:rPr>
          <w:rFonts w:hint="eastAsia" w:ascii="Times New Roman" w:hAnsi="Times New Roman" w:eastAsia="FangSong" w:cs="Times New Roman"/>
        </w:rPr>
        <w:t>易错</w:t>
      </w:r>
      <w:r>
        <w:rPr>
          <w:rFonts w:hint="eastAsia" w:ascii="Times New Roman" w:hAnsi="Times New Roman" w:eastAsia="Times New Roman" w:cs="Times New Roman"/>
        </w:rPr>
        <w:t>：2θ</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θ </w:t>
      </w:r>
      <w:r>
        <w:rPr>
          <w:rFonts w:hint="eastAsia" w:ascii="Times New Roman" w:hAnsi="Times New Roman" w:eastAsia="FangSong" w:cs="Times New Roman"/>
        </w:rPr>
        <w:t xml:space="preserve">不要混</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ind w:firstLine="420"/>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2"/>
        </w:numPr>
        <w:ind w:firstLine="420"/>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2"/>
        </w:numPr>
        <w:ind w:firstLine="420"/>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2"/>
        </w:numPr>
        <w:ind w:firstLine="420"/>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ind w:firstLine="420"/>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odyText"/>
        <w:ind w:firstLine="420"/>
      </w:pP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ind w:firstLine="420"/>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ind w:firstLine="420"/>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ind w:firstLine="420"/>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2667000" cy="200025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1804147"/>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2667000" cy="18041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排列方式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每球周围邻球数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ind w:firstLine="420"/>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35585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667000" cy="23558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2541984"/>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667000" cy="25419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ind w:firstLine="420"/>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3"/>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3"/>
        </w:numPr>
        <w:ind w:firstLine="420"/>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3"/>
        </w:numPr>
        <w:ind w:firstLine="420"/>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ind w:firstLine="420"/>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4"/>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4"/>
        </w:numPr>
        <w:ind w:firstLine="420"/>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4"/>
        </w:numPr>
        <w:ind w:firstLine="420"/>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FirstParagraph"/>
        <w:ind w:firstLine="420"/>
      </w:pPr>
      <w:r>
        <w:rPr>
          <w:rFonts w:ascii="Times New Roman" w:hAnsi="Times New Roman" w:eastAsia="Times New Roman" w:cs="Times New Roman"/>
        </w:rPr>
        <w:t xml:space="preserve">bcc </w:t>
      </w:r>
      <w:r>
        <w:rPr>
          <w:rFonts w:hint="eastAsia" w:ascii="Times New Roman" w:hAnsi="Times New Roman" w:eastAsia="FangSong" w:cs="Times New Roman"/>
        </w:rPr>
        <w:t>是碱金属</w:t>
      </w:r>
      <w:r>
        <w:rPr>
          <w:rFonts w:hint="eastAsia" w:ascii="Times New Roman" w:hAnsi="Times New Roman" w:eastAsia="Times New Roman" w:cs="Times New Roman"/>
        </w:rPr>
        <w:t>（Li、Na、K</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的典型结构</w:t>
      </w:r>
      <w:r>
        <w:rPr>
          <w:rFonts w:hint="eastAsia" w:ascii="Times New Roman" w:hAnsi="Times New Roman" w:eastAsia="Times New Roman" w:cs="Times New Roman"/>
        </w:rPr>
        <w:t>，</w:t>
      </w:r>
      <w:r>
        <w:rPr>
          <w:rFonts w:hint="eastAsia" w:ascii="Times New Roman" w:hAnsi="Times New Roman" w:eastAsia="FangSong" w:cs="Times New Roman"/>
        </w:rPr>
        <w:t>空间利用率提高到</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但仍有较大空隙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ind w:firstLine="420"/>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ind w:firstLine="420"/>
      </w:pPr>
      <w:r>
        <w:rPr>
          <w:rFonts w:hint="eastAsia" w:ascii="Times New Roman" w:hAnsi="Times New Roman" w:eastAsia="FangSong" w:cs="Times New Roman"/>
          <w:b/>
          <w:bCs/>
        </w:rPr>
        <w:t>密置双层</w:t>
      </w:r>
      <w:r>
        <w:rPr>
          <w:rFonts w:hint="eastAsia" w:ascii="Times New Roman" w:hAnsi="Times New Roman" w:eastAsia="Times New Roman" w:cs="Times New Roman"/>
          <w:b/>
          <w:bCs/>
        </w:rPr>
        <w:t>——</w:t>
      </w:r>
      <w:r>
        <w:rPr>
          <w:rFonts w:hint="eastAsia" w:ascii="Times New Roman" w:hAnsi="Times New Roman" w:eastAsia="FangSong" w:cs="Times New Roman"/>
          <w:b/>
          <w:bCs/>
        </w:rPr>
        <w:t>两类空隙的几何来历</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7.6 </w:t>
      </w:r>
      <w:r>
        <w:rPr>
          <w:rFonts w:hint="eastAsia" w:ascii="Times New Roman" w:hAnsi="Times New Roman" w:eastAsia="FangSong" w:cs="Times New Roman"/>
        </w:rPr>
        <w:t>的推理基础</w:t>
      </w:r>
      <w:r>
        <w:rPr>
          <w:rFonts w:hint="eastAsia" w:ascii="Times New Roman" w:hAnsi="Times New Roman" w:eastAsia="Times New Roman" w:cs="Times New Roman"/>
        </w:rPr>
        <w:t>）：</w:t>
      </w:r>
      <w:r>
        <w:rPr>
          <w:rFonts w:hint="eastAsia" w:ascii="Times New Roman" w:hAnsi="Times New Roman" w:eastAsia="FangSong" w:cs="Times New Roman"/>
        </w:rPr>
        <w:t>把一个密置层叠在另一个密置层上</w:t>
      </w:r>
      <w:r>
        <w:rPr>
          <w:rFonts w:hint="eastAsia" w:ascii="Times New Roman" w:hAnsi="Times New Roman" w:eastAsia="Times New Roman" w:cs="Times New Roman"/>
        </w:rPr>
        <w:t>，</w:t>
      </w:r>
      <w:r>
        <w:rPr>
          <w:rFonts w:hint="eastAsia" w:ascii="Times New Roman" w:hAnsi="Times New Roman" w:eastAsia="FangSong" w:cs="Times New Roman"/>
        </w:rPr>
        <w:t>上层球的球心恰落在下层三个球围成的三角形空隙正上方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FangSong" w:cs="Times New Roman"/>
          <w:b/>
          <w:bCs/>
        </w:rPr>
        <w:t xml:space="preserve">密置双层</w:t>
      </w:r>
      <w:r>
        <w:rPr>
          <w:rFonts w:hint="eastAsia" w:ascii="Times New Roman" w:hAnsi="Times New Roman" w:eastAsia="Times New Roman" w:cs="Times New Roman"/>
        </w:rPr>
        <w:t>。</w:t>
      </w:r>
      <w:r>
        <w:rPr>
          <w:rFonts w:hint="eastAsia" w:ascii="Times New Roman" w:hAnsi="Times New Roman" w:eastAsia="FangSong" w:cs="Times New Roman"/>
        </w:rPr>
        <w:t>此时上下两层共同围出两种空隙</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ascii="Times New Roman" w:hAnsi="Times New Roman" w:eastAsia="Times New Roman" w:cs="Times New Roman"/>
        </w:rPr>
        <w:t xml:space="preserve"> 3 + </w:t>
      </w:r>
      <w:r>
        <w:rPr>
          <w:rFonts w:hint="eastAsia" w:ascii="Times New Roman" w:hAnsi="Times New Roman" w:eastAsia="FangSong" w:cs="Times New Roman"/>
        </w:rPr>
        <w:t xml:space="preserve">上层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围成</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w:t>
      </w:r>
      <w:r>
        <w:rPr>
          <w:rFonts w:hint="eastAsia" w:ascii="Times New Roman" w:hAnsi="Times New Roman" w:eastAsia="FangSong" w:cs="Times New Roman"/>
        </w:rPr>
        <w:t>上下各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个球围成</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w:t>
      </w:r>
      <w:r>
        <w:rPr>
          <w:rFonts w:hint="eastAsia" w:ascii="Times New Roman" w:hAnsi="Times New Roman" w:eastAsia="FangSong" w:cs="Times New Roman"/>
        </w:rPr>
        <w:t>第三密置层的两种放法</w:t>
      </w:r>
      <w:r>
        <w:rPr>
          <w:rFonts w:hint="eastAsia" w:ascii="Times New Roman" w:hAnsi="Times New Roman" w:eastAsia="Times New Roman" w:cs="Times New Roman"/>
        </w:rPr>
        <w:t>（</w:t>
      </w:r>
      <w:r>
        <w:rPr>
          <w:rFonts w:hint="eastAsia" w:ascii="Times New Roman" w:hAnsi="Times New Roman" w:eastAsia="FangSong" w:cs="Times New Roman"/>
        </w:rPr>
        <w:t>正对第一层球心</w:t>
      </w:r>
      <w:r>
        <w:rPr>
          <w:rFonts w:ascii="Times New Roman" w:hAnsi="Times New Roman" w:eastAsia="Times New Roman" w:cs="Times New Roman"/>
        </w:rPr>
        <w:t xml:space="preserve"> → </w:t>
      </w:r>
      <w:r>
        <w:rPr>
          <w:rFonts w:hint="eastAsia" w:ascii="Times New Roman" w:hAnsi="Times New Roman" w:eastAsia="Times New Roman" w:cs="Times New Roman"/>
        </w:rPr>
        <w:t>AB；</w:t>
      </w:r>
      <w:r>
        <w:rPr>
          <w:rFonts w:hint="eastAsia" w:ascii="Times New Roman" w:hAnsi="Times New Roman" w:eastAsia="FangSong" w:cs="Times New Roman"/>
        </w:rPr>
        <w:t>落在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之外的空隙位</w:t>
      </w:r>
      <w:r>
        <w:rPr>
          <w:rFonts w:ascii="Times New Roman" w:hAnsi="Times New Roman" w:eastAsia="Times New Roman" w:cs="Times New Roman"/>
        </w:rPr>
        <w:t xml:space="preserve"> → </w:t>
      </w:r>
      <w:r>
        <w:rPr>
          <w:rFonts w:hint="eastAsia" w:ascii="Times New Roman" w:hAnsi="Times New Roman" w:eastAsia="Times New Roman" w:cs="Times New Roman"/>
        </w:rPr>
        <w:t>ABC）</w:t>
      </w:r>
      <w:r>
        <w:rPr>
          <w:rFonts w:hint="eastAsia" w:ascii="Times New Roman" w:hAnsi="Times New Roman" w:eastAsia="FangSong" w:cs="Times New Roman"/>
        </w:rPr>
        <w:t>从密置双层出发只有这两个选择</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两种最密堆积的全部来源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624328"/>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2667000" cy="26243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2858745"/>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2667000" cy="28587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ind w:firstLine="420"/>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520000" cy="3624444"/>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520000" cy="36244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ind w:firstLine="420"/>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ind w:firstLine="420"/>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504711"/>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2667000" cy="350471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ind w:firstLine="420"/>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ind w:firstLine="420"/>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5"/>
        </w:numPr>
        <w:ind w:firstLine="420"/>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5"/>
        </w:numPr>
        <w:ind w:firstLine="420"/>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FirstParagraph"/>
        <w:ind w:firstLine="420"/>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ind w:firstLine="420"/>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FirstParagraph"/>
        <w:spacing w:before="160" w:after="80"/>
        <w:jc w:val="center"/>
      </w:pPr>
      <w:r>
        <w:rPr>
          <w:rFonts w:ascii="Times New Roman" w:hAnsi="Times New Roman" w:eastAsia="FangSong" w:cs="Times New Roman"/>
          <w:b w:val="0"/>
          <w:i w:val="0"/>
          <w:sz w:val="21"/>
        </w:rPr>
        <w:drawing>
          <wp:inline>
            <wp:extent cx="2520000" cy="497952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2520000" cy="4979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520000" cy="4955293"/>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2520000" cy="49552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空隙类型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由几个球围成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空隙形状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堆积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层序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空间利用率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ind w:firstLine="420"/>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ind w:firstLine="420"/>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ind w:firstLine="420"/>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堆积方式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晶格类型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空间利用率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odyText"/>
        <w:spacing w:before="120"/>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ind w:firstLine="420"/>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ind w:firstLine="420"/>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6"/>
        </w:numPr>
        <w:ind w:firstLine="420"/>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6"/>
        </w:numPr>
        <w:ind w:firstLine="420"/>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6"/>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6"/>
        </w:numPr>
        <w:ind w:firstLine="420"/>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6"/>
        </w:numPr>
        <w:ind w:firstLine="420"/>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ind w:firstLine="420"/>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7"/>
        </w:numPr>
        <w:ind w:firstLine="420"/>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7"/>
        </w:numPr>
        <w:ind w:firstLine="420"/>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7"/>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7"/>
        </w:numPr>
        <w:ind w:firstLine="420"/>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7"/>
        </w:numPr>
        <w:ind w:firstLine="420"/>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7"/>
        </w:numPr>
        <w:ind w:firstLine="420"/>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的点阵型式是</w:t>
      </w:r>
      <w:r>
        <w:rPr>
          <w:rFonts w:hint="eastAsia" w:ascii="Times New Roman" w:hAnsi="Times New Roman" w:eastAsia="FangSong" w:cs="Times New Roman"/>
          <w:b/>
          <w:bCs/>
        </w:rPr>
        <w:t xml:space="preserve">简单立方</w:t>
      </w:r>
      <w:r>
        <w:rPr>
          <w:rFonts w:hint="eastAsia" w:ascii="Times New Roman" w:hAnsi="Times New Roman" w:eastAsia="FangSong" w:cs="Times New Roman"/>
        </w:rPr>
        <w:t>而非体心立方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理由见</w:t>
      </w:r>
      <w:r>
        <w:rPr>
          <w:rFonts w:ascii="Times New Roman" w:hAnsi="Times New Roman" w:eastAsia="Times New Roman" w:cs="Times New Roman"/>
        </w:rPr>
        <w:t xml:space="preserve"> §2.5 </w:t>
      </w:r>
      <w:r>
        <w:rPr>
          <w:rFonts w:hint="eastAsia" w:ascii="Times New Roman" w:hAnsi="Times New Roman" w:eastAsia="FangSong" w:cs="Times New Roman"/>
        </w:rPr>
        <w:t>体心平移检验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8"/>
        </w:numPr>
        <w:ind w:firstLine="420"/>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8"/>
        </w:numPr>
        <w:ind w:firstLine="420"/>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8"/>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8"/>
        </w:numPr>
        <w:ind w:firstLine="420"/>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8"/>
        </w:numPr>
        <w:ind w:firstLine="420"/>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218"/>
        <w:gridCol w:w="1218"/>
        <w:gridCol w:w="1523"/>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负离子堆积方式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离子晶体类型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正离子所占空隙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ind w:firstLine="42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空隙类型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odyText"/>
        <w:spacing w:before="120"/>
        <w:ind w:firstLine="420"/>
      </w:pPr>
      <w:r>
        <w:rPr>
          <w:rFonts w:hint="eastAsia" w:ascii="Times New Roman" w:hAnsi="Times New Roman" w:eastAsia="FangSong" w:cs="Times New Roman"/>
        </w:rPr>
        <w:t>半径比规则三个临界值</w:t>
      </w:r>
      <w:r>
        <w:rPr>
          <w:rFonts w:hint="eastAsia" w:ascii="Times New Roman" w:hAnsi="Times New Roman" w:eastAsia="Times New Roman" w:cs="Times New Roman"/>
        </w:rPr>
        <w:t>（0.225</w:t>
      </w:r>
      <w:r>
        <w:rPr>
          <w:rFonts w:ascii="Times New Roman" w:hAnsi="Times New Roman" w:eastAsia="Times New Roman" w:cs="Times New Roman"/>
        </w:rPr>
        <w:t xml:space="preserve"> / 0.414 / </w:t>
      </w:r>
      <w:r>
        <w:rPr>
          <w:rFonts w:hint="eastAsia" w:ascii="Times New Roman" w:hAnsi="Times New Roman" w:eastAsia="Times New Roman" w:cs="Times New Roman"/>
        </w:rPr>
        <w:t>0.732）</w:t>
      </w:r>
      <w:r>
        <w:rPr>
          <w:rFonts w:hint="eastAsia" w:ascii="Times New Roman" w:hAnsi="Times New Roman" w:eastAsia="FangSong" w:cs="Times New Roman"/>
        </w:rPr>
        <w:t>的几何推导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ind w:firstLine="42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09"/>
        </w:numPr>
        <w:ind w:firstLine="420"/>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09"/>
        </w:numPr>
        <w:ind w:firstLine="42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9"/>
        </w:numPr>
        <w:ind w:firstLine="420"/>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09"/>
        </w:numPr>
        <w:ind w:firstLine="420"/>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FirstParagraph"/>
        <w:ind w:firstLine="420"/>
      </w:pPr>
      <w:r>
        <w:rPr>
          <w:rFonts w:hint="eastAsia" w:ascii="Times New Roman" w:hAnsi="Times New Roman" w:eastAsia="FangSong" w:cs="Times New Roman"/>
          <w:b/>
          <w:bCs/>
        </w:rPr>
        <w:t>反萤石型</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正负离子位置与萤石型正好相反</w:t>
      </w:r>
      <w:r>
        <w:rPr>
          <w:rFonts w:hint="eastAsia" w:ascii="Times New Roman" w:hAnsi="Times New Roman" w:eastAsia="Times New Roman" w:cs="Times New Roman"/>
        </w:rPr>
        <w:t>——</w:t>
      </w:r>
      <w:r>
        <w:rPr>
          <w:rFonts w:hint="eastAsia" w:ascii="Times New Roman" w:hAnsi="Times New Roman" w:eastAsia="FangSong" w:cs="Times New Roman"/>
        </w:rPr>
        <w:t>负离子做面心立方密堆积</w:t>
      </w:r>
      <w:r>
        <w:rPr>
          <w:rFonts w:hint="eastAsia" w:ascii="Times New Roman" w:hAnsi="Times New Roman" w:eastAsia="Times New Roman" w:cs="Times New Roman"/>
        </w:rPr>
        <w:t>，</w:t>
      </w:r>
      <w:r>
        <w:rPr>
          <w:rFonts w:hint="eastAsia" w:ascii="Times New Roman" w:hAnsi="Times New Roman" w:eastAsia="FangSong" w:cs="Times New Roman"/>
        </w:rPr>
        <w:t>正离子填充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正离子</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判断要领</w:t>
      </w:r>
      <w:r>
        <w:rPr>
          <w:rFonts w:hint="eastAsia" w:ascii="Times New Roman" w:hAnsi="Times New Roman" w:eastAsia="Times New Roman" w:cs="Times New Roman"/>
        </w:rPr>
        <w:t>：</w:t>
      </w:r>
      <w:r>
        <w:rPr>
          <w:rFonts w:hint="eastAsia" w:ascii="Times New Roman" w:hAnsi="Times New Roman" w:eastAsia="FangSong" w:cs="Times New Roman"/>
        </w:rPr>
        <w:t>化学式中正离子数是负离子两倍</w:t>
      </w:r>
      <w:r>
        <w:rPr>
          <w:rFonts w:hint="eastAsia" w:ascii="Times New Roman" w:hAnsi="Times New Roman" w:eastAsia="Times New Roman" w:cs="Times New Roman"/>
        </w:rPr>
        <w:t>、</w:t>
      </w:r>
      <w:r>
        <w:rPr>
          <w:rFonts w:hint="eastAsia" w:ascii="Times New Roman" w:hAnsi="Times New Roman" w:eastAsia="FangSong" w:cs="Times New Roman"/>
        </w:rPr>
        <w:t>且两种离子均可视为球堆积时</w:t>
      </w:r>
      <w:r>
        <w:rPr>
          <w:rFonts w:hint="eastAsia" w:ascii="Times New Roman" w:hAnsi="Times New Roman" w:eastAsia="Times New Roman" w:cs="Times New Roman"/>
        </w:rPr>
        <w:t>，</w:t>
      </w:r>
      <w:r>
        <w:rPr>
          <w:rFonts w:hint="eastAsia" w:ascii="Times New Roman" w:hAnsi="Times New Roman" w:eastAsia="FangSong" w:cs="Times New Roman"/>
        </w:rPr>
        <w:t>考虑反萤石型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ind w:firstLine="420"/>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围成的立方八面体空隙</w:t>
      </w:r>
      <w:r>
        <w:rPr>
          <w:rFonts w:hint="eastAsia" w:ascii="Times New Roman" w:hAnsi="Times New Roman" w:eastAsia="Times New Roman" w:cs="Times New Roman"/>
        </w:rPr>
        <w:t>——</w:t>
      </w:r>
      <w:r>
        <w:rPr>
          <w:rFonts w:hint="eastAsia" w:ascii="Times New Roman" w:hAnsi="Times New Roman" w:eastAsia="FangSong" w:cs="Times New Roman"/>
        </w:rPr>
        <w:t>钙钛矿型</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12 </w:t>
      </w:r>
      <w:r>
        <w:rPr>
          <w:rFonts w:hint="eastAsia" w:ascii="Times New Roman" w:hAnsi="Times New Roman" w:eastAsia="FangSong" w:cs="Times New Roman"/>
        </w:rPr>
        <w:t>配位是固定特征</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ind w:firstLine="420"/>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ind w:firstLine="420"/>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0"/>
        </w:numPr>
        <w:ind w:firstLine="420"/>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0"/>
        </w:numPr>
        <w:ind w:firstLine="42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0"/>
        </w:numPr>
        <w:ind w:firstLine="4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0"/>
        </w:numPr>
        <w:ind w:firstLine="420"/>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ind w:firstLine="420"/>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推导</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1/4 =</w:t>
      </w:r>
      <w:r>
        <w:rPr>
          <w:rFonts w:ascii="Times New Roman" w:hAnsi="Times New Roman" w:eastAsia="Times New Roman" w:cs="Times New Roman"/>
        </w:rPr>
        <w:t xml:space="preserve"> </w:t>
      </w:r>
      <m:oMath>
        <m:f>
          <m:fPr>
            <m:type m:val="bar"/>
          </m:fPr>
          <m:num>
            <m:rad>
              <m:radPr>
                <m:degHide m:val="on"/>
              </m:radPr>
              <m:deg/>
              <m:e>
                <m:r>
                  <m:t>3</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8</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4</m:t>
            </m:r>
          </m:num>
          <m:den>
            <m:r>
              <m:t>3</m:t>
            </m:r>
          </m:den>
        </m:f>
        <m:r>
          <m:t>π</m:t>
        </m:r>
        <m:sSup>
          <m:e>
            <m:r>
              <m:t>r</m:t>
            </m:r>
          </m:e>
          <m:sup>
            <m:r>
              <m:t>3</m:t>
            </m:r>
          </m:sup>
        </m:sSup>
        <m:r>
          <m:rPr>
            <m:sty m:val="p"/>
          </m:rPr>
          <m:t>/</m:t>
        </m:r>
        <m:sSup>
          <m:e>
            <m:r>
              <m:t>a</m:t>
            </m:r>
          </m:e>
          <m:sup>
            <m:r>
              <m:t>3</m:t>
            </m:r>
          </m:sup>
        </m:sSup>
        <m:r>
          <m:rPr>
            <m:sty m:val="p"/>
          </m:rPr>
          <m:t>=</m:t>
        </m:r>
        <m:f>
          <m:fPr>
            <m:type m:val="bar"/>
          </m:fPr>
          <m:num>
            <m:rad>
              <m:radPr>
                <m:degHide m:val="on"/>
              </m:radPr>
              <m:deg/>
              <m:e>
                <m:r>
                  <m:t>3</m:t>
                </m:r>
              </m:e>
            </m:rad>
            <m:r>
              <m:t>π</m:t>
            </m:r>
          </m:num>
          <m:den>
            <m:r>
              <m:t>16</m:t>
            </m:r>
          </m:den>
        </m:f>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1"/>
        </w:numPr>
        <w:ind w:firstLine="420"/>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Si-O </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ind w:firstLine="420"/>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05"/>
        <w:gridCol w:w="905"/>
        <w:gridCol w:w="905"/>
        <w:gridCol w:w="905"/>
        <w:gridCol w:w="1131"/>
        <w:gridCol w:w="1131"/>
        <w:gridCol w:w="1131"/>
        <w:gridCol w:w="90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晶体质点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质点间作用力</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堆积特征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熔沸点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硬度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延展性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ind w:firstLine="420"/>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31"/>
        <w:gridCol w:w="1164"/>
        <w:gridCol w:w="1164"/>
        <w:gridCol w:w="1164"/>
        <w:gridCol w:w="1164"/>
        <w:gridCol w:w="1164"/>
        <w:gridCol w:w="116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tcBorders>
              <w:bottom w:val="single" w:sz="6" w:space="0" w:color="333333"/>
            </w:tcBorders>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tcBorders>
              <w:bottom w:val="single" w:sz="6" w:space="0" w:color="333333"/>
            </w:tcBorders>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tcBorders>
              <w:bottom w:val="single" w:sz="6" w:space="0" w:color="333333"/>
            </w:tcBorders>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12"/>
        <w:gridCol w:w="1015"/>
        <w:gridCol w:w="1015"/>
        <w:gridCol w:w="1015"/>
        <w:gridCol w:w="1015"/>
        <w:gridCol w:w="1015"/>
        <w:gridCol w:w="1015"/>
        <w:gridCol w:w="101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tcBorders>
              <w:bottom w:val="single" w:sz="6" w:space="0" w:color="333333"/>
            </w:tcBorders>
          </w:tcPr>
          <w:p>
            <w:pPr>
              <w:pStyle w:val="Compact"/>
              <w:jc w:val="center"/>
            </w:pPr>
            <w:r>
              <w:rPr>
                <w:rFonts w:ascii="Times New Roman" w:hAnsi="Times New Roman" w:eastAsia="Times New Roman" w:cs="Times New Roman"/>
                <w:b/>
              </w:rPr>
              <w:t xml:space="preserve">MgO</w:t>
            </w:r>
          </w:p>
        </w:tc>
        <w:tc>
          <w:tcPr>
            <w:tcBorders>
              <w:bottom w:val="single" w:sz="6" w:space="0" w:color="333333"/>
            </w:tcBorders>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tcBorders>
              <w:bottom w:val="single" w:sz="6" w:space="0" w:color="333333"/>
            </w:tcBorders>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tcBorders>
              <w:bottom w:val="single" w:sz="6" w:space="0" w:color="333333"/>
            </w:tcBorders>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ind w:firstLine="420"/>
      </w:pP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ind w:firstLine="420"/>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因素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AgF</w:t>
            </w:r>
          </w:p>
        </w:tc>
        <w:tc>
          <w:tcPr>
            <w:tcBorders>
              <w:bottom w:val="single" w:sz="6" w:space="0" w:color="333333"/>
            </w:tcBorders>
          </w:tcPr>
          <w:p>
            <w:pPr>
              <w:pStyle w:val="Compact"/>
              <w:jc w:val="center"/>
            </w:pPr>
            <w:r>
              <w:rPr>
                <w:rFonts w:ascii="Times New Roman" w:hAnsi="Times New Roman" w:eastAsia="Times New Roman" w:cs="Times New Roman"/>
                <w:b/>
              </w:rPr>
              <w:t xml:space="preserve">AgCl</w:t>
            </w:r>
          </w:p>
        </w:tc>
        <w:tc>
          <w:tcPr>
            <w:tcBorders>
              <w:bottom w:val="single" w:sz="6" w:space="0" w:color="333333"/>
            </w:tcBorders>
          </w:tcPr>
          <w:p>
            <w:pPr>
              <w:pStyle w:val="Compact"/>
              <w:jc w:val="center"/>
            </w:pPr>
            <w:r>
              <w:rPr>
                <w:rFonts w:ascii="Times New Roman" w:hAnsi="Times New Roman" w:eastAsia="Times New Roman" w:cs="Times New Roman"/>
                <w:b/>
              </w:rPr>
              <w:t xml:space="preserve">AgBr</w:t>
            </w:r>
          </w:p>
        </w:tc>
        <w:tc>
          <w:tcPr>
            <w:tcBorders>
              <w:bottom w:val="single" w:sz="6" w:space="0" w:color="333333"/>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odyText"/>
        <w:spacing w:before="120"/>
        <w:ind w:firstLine="420"/>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BodyText"/>
        <w:spacing w:after="80"/>
        <w:ind w:firstLine="42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极化增强时的变化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NaF(992°C), MgO(2800°C);</w:t>
      </w:r>
    </w:p>
    <w:p>
      <w:pPr>
        <w:pStyle w:val="Compact"/>
        <w:numPr>
          <w:ilvl w:val="0"/>
          <w:numId w:val="1012"/>
        </w:numPr>
      </w:pPr>
      <w:r>
        <w:rPr>
          <w:rFonts w:ascii="Times New Roman" w:hAnsi="Times New Roman" w:eastAsia="Times New Roman" w:cs="Times New Roman"/>
        </w:rPr>
        <w:t xml:space="preserve">MgO(2800°C), BaO(1923°C);</w:t>
      </w:r>
    </w:p>
    <w:p>
      <w:pPr>
        <w:pStyle w:val="Compact"/>
        <w:numPr>
          <w:ilvl w:val="0"/>
          <w:numId w:val="1012"/>
        </w:numPr>
      </w:pPr>
      <w:r>
        <w:rPr>
          <w:rFonts w:ascii="Times New Roman" w:hAnsi="Times New Roman" w:eastAsia="Times New Roman" w:cs="Times New Roman"/>
        </w:rPr>
        <w:t xml:space="preserve">BeO(2530°C), MgO(2800°C), CaO(2570°C), SrO(2430°C), BaO(1923°C);</w:t>
      </w:r>
    </w:p>
    <w:p>
      <w:pPr>
        <w:pStyle w:val="Compact"/>
        <w:numPr>
          <w:ilvl w:val="0"/>
          <w:numId w:val="1012"/>
        </w:numPr>
      </w:pPr>
      <w:r>
        <w:rPr>
          <w:rFonts w:ascii="Times New Roman" w:hAnsi="Times New Roman" w:eastAsia="Times New Roman" w:cs="Times New Roman"/>
        </w:rPr>
        <w:t xml:space="preserve">NaF(992°C), NaCl(800°C), AgCl(455°C);</w:t>
      </w:r>
    </w:p>
    <w:p>
      <w:pPr>
        <w:pStyle w:val="Compact"/>
        <w:numPr>
          <w:ilvl w:val="0"/>
          <w:numId w:val="1012"/>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2"/>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ind w:firstLine="420"/>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ind w:firstLine="420"/>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odyText"/>
        <w:spacing w:before="120"/>
        <w:ind w:firstLine="420"/>
      </w:pPr>
      <w:r>
        <w:rPr>
          <w:rFonts w:hint="eastAsia" w:ascii="Times New Roman" w:hAnsi="Times New Roman" w:eastAsia="FangSong" w:cs="Times New Roman"/>
        </w:rPr>
        <w:t xml:space="preserve">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ind w:firstLine="42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ind w:firstLine="42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 xml:space="preserve">R/pm</w:t>
            </w:r>
          </w:p>
        </w:tc>
        <w:tc>
          <w:tcPr>
            <w:tcBorders>
              <w:bottom w:val="single" w:sz="6" w:space="0" w:color="333333"/>
            </w:tcBorders>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tcBorders>
              <w:bottom w:val="single" w:sz="6" w:space="0" w:color="333333"/>
            </w:tcBorders>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ind w:firstLine="4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ind w:firstLine="420"/>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容易产生</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正负离子半径相近的碱金属卤化物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NaCl、KCl）</w:t>
      </w:r>
      <w:r>
        <w:rPr>
          <w:rFonts w:hint="eastAsia" w:ascii="Times New Roman" w:hAnsi="Times New Roman" w:eastAsia="FangSong" w:cs="Times New Roman"/>
        </w:rPr>
        <w:t>容易产生</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ind w:firstLine="420"/>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ind w:firstLine="420"/>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组成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ind w:firstLine="4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ind w:firstLine="420"/>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ind w:firstLine="420"/>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74.05%。</w:t>
      </w:r>
    </w:p>
    <w:p>
      <w:pPr>
        <w:pStyle w:val="BlockText"/>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ccp / </w:t>
      </w:r>
      <w:r>
        <w:rPr>
          <w:rFonts w:hint="eastAsia" w:ascii="Times New Roman" w:hAnsi="Times New Roman" w:eastAsia="FangSong" w:cs="Times New Roman"/>
        </w:rPr>
        <w:t>面心立方晶胞为例</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结论相同</w:t>
      </w:r>
      <w:r>
        <w:rPr>
          <w:rFonts w:hint="eastAsia" w:ascii="Times New Roman" w:hAnsi="Times New Roman" w:eastAsia="Times New Roman" w:cs="Times New Roman"/>
        </w:rPr>
        <w:t>——</w:t>
      </w:r>
      <w:r>
        <w:rPr>
          <w:rFonts w:hint="eastAsia" w:ascii="Times New Roman" w:hAnsi="Times New Roman" w:eastAsia="FangSong" w:cs="Times New Roman"/>
        </w:rPr>
        <w:t>两种堆积的配位数与占有率只依赖密置层方式</w:t>
      </w:r>
      <w:r>
        <w:rPr>
          <w:rFonts w:hint="eastAsia" w:ascii="Times New Roman" w:hAnsi="Times New Roman" w:eastAsia="Times New Roman" w:cs="Times New Roman"/>
        </w:rPr>
        <w:t>，</w:t>
      </w:r>
      <w:r>
        <w:rPr>
          <w:rFonts w:hint="eastAsia" w:ascii="Times New Roman" w:hAnsi="Times New Roman" w:eastAsia="FangSong" w:cs="Times New Roman"/>
        </w:rPr>
        <w:t>不依赖层序</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晶胞含球数</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每个球对应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w:t>
      </w:r>
      <m:oMath>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12</m:t>
        </m:r>
        <m:r>
          <m:rPr>
            <m:sty m:val="p"/>
          </m:rPr>
          <m:t>×</m:t>
        </m:r>
        <m:f>
          <m:fPr>
            <m:type m:val="bar"/>
          </m:fPr>
          <m:num>
            <m:r>
              <m:t>1</m:t>
            </m:r>
          </m:num>
          <m:den>
            <m:r>
              <m:t>4</m:t>
            </m:r>
          </m:den>
        </m:f>
        <m:r>
          <m:rPr>
            <m:sty m:val="p"/>
          </m:rPr>
          <m:t>=</m:t>
        </m:r>
        <m:r>
          <m:t>4</m:t>
        </m:r>
      </m:oMath>
      <w:r>
        <w:rPr>
          <w:rFonts w:ascii="Times New Roman" w:hAnsi="Times New Roman" w:eastAsia="Times New Roman" w:cs="Times New Roman"/>
        </w:rPr>
        <w:t xml:space="preserve">。</w:t>
      </w:r>
    </w:p>
    <w:p>
      <w:pPr>
        <w:pStyle w:val="Block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w:t>
      </w:r>
      <m:oMath>
        <m:r>
          <m:t>2</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全部位于晶胞内部</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m:oMath>
        <m:f>
          <m:fPr>
            <m:type m:val="bar"/>
          </m:fPr>
          <m:num>
            <m:r>
              <m:t>1</m:t>
            </m:r>
          </m:num>
          <m:den>
            <m:r>
              <m:t>4</m:t>
            </m:r>
          </m:den>
        </m:f>
        <m:r>
          <m:rPr>
            <m:sty m:val="p"/>
          </m:rPr>
          <m:t>/</m:t>
        </m:r>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的全部</w:t>
      </w:r>
      <w:r>
        <w:rPr>
          <w:rFonts w:ascii="Times New Roman" w:hAnsi="Times New Roman" w:eastAsia="Times New Roman" w:cs="Times New Roman"/>
        </w:rPr>
        <w:t xml:space="preserve"> 8 </w:t>
      </w:r>
      <w:r>
        <w:rPr>
          <w:rFonts w:hint="eastAsia" w:ascii="Times New Roman" w:hAnsi="Times New Roman" w:eastAsia="FangSong" w:cs="Times New Roman"/>
        </w:rPr>
        <w:t>种组合</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空间占有率</w:t>
      </w:r>
      <w:r>
        <w:rPr>
          <w:rFonts w:hint="eastAsia" w:ascii="Times New Roman" w:hAnsi="Times New Roman" w:eastAsia="Times New Roman" w:cs="Times New Roman"/>
        </w:rPr>
        <w:t>：</w:t>
      </w: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sSup>
          <m:e>
            <m:r>
              <m:t>a</m:t>
            </m:r>
          </m:e>
          <m:sup>
            <m:r>
              <m:t>3</m:t>
            </m:r>
          </m:sup>
        </m:sSup>
        <m:r>
          <m:rPr>
            <m:sty m:val="p"/>
          </m:rPr>
          <m:t>=</m:t>
        </m:r>
        <m:r>
          <m:t>16</m:t>
        </m:r>
        <m:rad>
          <m:radPr>
            <m:degHide m:val="on"/>
          </m:radPr>
          <m:deg/>
          <m:e>
            <m:r>
              <m:t>2</m:t>
            </m:r>
          </m:e>
        </m:rad>
        <m:r>
          <m:t> </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2026-10-02T23:39:55Z</dcterms:created>
  <dcterms:modified xsi:type="dcterms:W3CDTF">2026-10-02T23:39:55Z</dcterms:modified>
</cp:coreProperties>
</file>

<file path=docProps/custom.xml><?xml version="1.0" encoding="utf-8"?>
<Properties xmlns="http://schemas.openxmlformats.org/officeDocument/2006/custom-properties" xmlns:vt="http://schemas.openxmlformats.org/officeDocument/2006/docPropsVTypes"/>
</file>