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（Zaitsev/Hofmann）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反应中</w:t>
            </w:r>
            <w:r>
              <w:rPr>
                <w:rFonts w:ascii="Times New Roman" w:hAnsi="Times New Roman" w:eastAsia="Times New Roman" w:cs="Times New Roman"/>
              </w:rPr>
              <w:t xml:space="preserve"> Zaitsev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E2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的反式共平面要求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能用反式共平面要求分析环己烷体系的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E1cb </w:t>
            </w:r>
            <w:r>
              <w:rPr>
                <w:rFonts w:hint="eastAsia" w:ascii="Times New Roman" w:hAnsi="Times New Roman" w:eastAsia="FangSong" w:cs="Times New Roman"/>
              </w:rPr>
              <w:t xml:space="preserve">机理特征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E1cb </w:t>
            </w:r>
            <w:r>
              <w:rPr>
                <w:rFonts w:hint="eastAsia" w:ascii="Times New Roman" w:hAnsi="Times New Roman" w:eastAsia="FangSong" w:cs="Times New Roman"/>
              </w:rPr>
              <w:t>机理特征</w:t>
            </w:r>
            <w:r>
              <w:rPr>
                <w:rFonts w:hint="eastAsia" w:ascii="Times New Roman" w:hAnsi="Times New Roman" w:eastAsia="Times New Roman" w:cs="Times New Roman"/>
              </w:rPr>
              <w:t>（β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位吸电子基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差离去基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两步分步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SN1/SN2/E1/E2 </w:t>
            </w:r>
            <w:r>
              <w:rPr>
                <w:rFonts w:hint="eastAsia" w:ascii="Times New Roman" w:hAnsi="Times New Roman" w:eastAsia="FangSong" w:cs="Times New Roman"/>
              </w:rPr>
              <w:t xml:space="preserve">判别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过渡态三个层面区分</w:t>
            </w:r>
            <w:r>
              <w:rPr>
                <w:rFonts w:ascii="Times New Roman" w:hAnsi="Times New Roman" w:eastAsia="Times New Roman" w:cs="Times New Roman"/>
              </w:rPr>
              <w:t xml:space="preserve"> SN1/SN2/E1/E2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 xml:space="preserve">翻转与</w:t>
            </w:r>
            <w:r>
              <w:rPr>
                <w:rFonts w:ascii="Times New Roman" w:hAnsi="Times New Roman" w:eastAsia="Times New Roman" w:cs="Times New Roman"/>
              </w:rPr>
              <w:t xml:space="preserve"> SN1 </w:t>
            </w:r>
            <w:r>
              <w:rPr>
                <w:rFonts w:hint="eastAsia" w:ascii="Times New Roman" w:hAnsi="Times New Roman" w:eastAsia="FangSong" w:cs="Times New Roman"/>
              </w:rPr>
              <w:t xml:space="preserve">的外消旋化过程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条件对主路径的调控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同一底物换试剂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后主路径切换的原因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邻基参与与重排例外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能识别邻基参与和碳正离子重排带来的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假例外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能用完整判断链解释陌生条件下的反应主路径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离去基能力与</w:t>
            </w:r>
            <w:r>
              <w:rPr>
                <w:rFonts w:ascii="Times New Roman" w:hAnsi="Times New Roman" w:eastAsia="Times New Roman" w:cs="Times New Roman"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判断离去基能力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好</w:t>
            </w:r>
            <w:r>
              <w:rPr>
                <w:rFonts w:ascii="Times New Roman" w:hAnsi="Times New Roman" w:eastAsia="Times New Roman" w:cs="Times New Roman"/>
              </w:rPr>
              <w:t xml:space="preserve"> LG =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pKa）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[Nu···C···X]‡（</w:t>
      </w:r>
      <w:r>
        <w:rPr>
          <w:rFonts w:hint="eastAsia" w:ascii="Times New Roman" w:hAnsi="Times New Roman" w:eastAsia="FangSong" w:cs="Times New Roman"/>
        </w:rPr>
        <w:t>五配位三角双锥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>平面化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2026-09-19T07:42:44Z</dcterms:created>
  <dcterms:modified xsi:type="dcterms:W3CDTF">2026-09-19T07:42:44Z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