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spacing w:after="80"/>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分子与超分子化学范畴对比</w:t>
            </w:r>
          </w:p>
        </w:tc>
      </w:tr>
      <w:tr>
        <w:tc>
          <w:tcPr/>
          <w:p>
            <w:pPr>
              <w:pStyle w:val="Compact"/>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tc>
      </w:tr>
    </w:tbl>
    <w:p>
      <w:pPr>
        <w:pStyle w:val="BodyText"/>
        <w:spacing w:before="120"/>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spacing w:after="80"/>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穴状配合物</w:t>
            </w:r>
          </w:p>
        </w:tc>
      </w:tr>
      <w:tr>
        <w:tc>
          <w:tcPr/>
          <w:p>
            <w:pPr>
              <w:pStyle w:val="Compact"/>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tc>
      </w:tr>
    </w:tbl>
    <w:p>
      <w:pPr>
        <w:pStyle w:val="BodyText"/>
        <w:spacing w:before="120"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after="8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多重氢键二聚与碱基互补</w:t>
            </w:r>
          </w:p>
        </w:tc>
      </w:tr>
      <w:tr>
        <w:tc>
          <w:tcPr/>
          <w:p>
            <w:pPr>
              <w:pStyle w:val="Compact"/>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tc>
      </w:tr>
    </w:tbl>
    <w:p>
      <w:pPr>
        <w:pStyle w:val="BodyText"/>
        <w:spacing w:before="120"/>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芳环堆积偏移与边对面构型</w:t>
            </w:r>
          </w:p>
        </w:tc>
      </w:tr>
      <w:tr>
        <w:tc>
          <w:tcPr/>
          <w:p>
            <w:pPr>
              <w:pStyle w:val="Compact"/>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tc>
      </w:tr>
    </w:tbl>
    <w:p>
      <w:pPr>
        <w:pStyle w:val="BodyText"/>
        <w:spacing w:before="120"/>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spacing w:after="80"/>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主客体空间匹配锁钥模型</w:t>
            </w:r>
          </w:p>
        </w:tc>
      </w:tr>
      <w:tr>
        <w:tc>
          <w:tcPr/>
          <w:p>
            <w:pPr>
              <w:pStyle w:val="Compact"/>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tc>
      </w:tr>
    </w:tbl>
    <w:p>
      <w:pPr>
        <w:pStyle w:val="BodyText"/>
        <w:spacing w:before="120"/>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使结合自由能达到更低的极小值</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链状大环与大二环主体对比</w:t>
            </w:r>
          </w:p>
        </w:tc>
      </w:tr>
      <w:tr>
        <w:tc>
          <w:tcPr/>
          <w:p>
            <w:pPr>
              <w:pStyle w:val="Compact"/>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tc>
      </w:tr>
    </w:tbl>
    <w:p>
      <w:pPr>
        <w:pStyle w:val="BodyText"/>
        <w:spacing w:before="120"/>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把这一思想推广到三维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连续变化法确定络合计量比</w:t>
            </w:r>
          </w:p>
        </w:tc>
      </w:tr>
      <w:tr>
        <w:tc>
          <w:tcPr/>
          <w:p>
            <w:pPr>
              <w:pStyle w:val="Compact"/>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spacing w:after="80"/>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经典单环冠醚主体系列</w:t>
            </w:r>
          </w:p>
        </w:tc>
      </w:tr>
      <w:tr>
        <w:tc>
          <w:tcPr/>
          <w:p>
            <w:pPr>
              <w:pStyle w:val="Compact"/>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tc>
      </w:tr>
    </w:tbl>
    <w:p>
      <w:pPr>
        <w:pStyle w:val="BodyText"/>
        <w:spacing w:before="120"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三维氮杂穴醚空间包结结构</w:t>
            </w:r>
          </w:p>
        </w:tc>
      </w:tr>
      <w:tr>
        <w:tc>
          <w:tcPr/>
          <w:p>
            <w:pPr>
              <w:pStyle w:val="Compact"/>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tc>
      </w:tr>
    </w:tbl>
    <w:p>
      <w:pPr>
        <w:pStyle w:val="BodyText"/>
        <w:spacing w:before="120"/>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spacing w:after="80"/>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杯芳烃分子内环状氢键网络</w:t>
            </w:r>
          </w:p>
        </w:tc>
      </w:tr>
      <w:tr>
        <w:tc>
          <w:tcPr/>
          <w:p>
            <w:pPr>
              <w:pStyle w:val="Compact"/>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tc>
      </w:tr>
    </w:tbl>
    <w:p>
      <w:pPr>
        <w:pStyle w:val="BodyText"/>
        <w:spacing w:before="120"/>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p>
    <w:p>
      <w:pPr>
        <w:pStyle w:val="BodyText"/>
        <w:spacing w:after="80"/>
        <w:ind w:firstLine="420"/>
      </w:pP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常见杯芳烃与环糊精主体</w:t>
            </w:r>
          </w:p>
        </w:tc>
      </w:tr>
      <w:tr>
        <w:tc>
          <w:tcPr/>
          <w:p>
            <w:pPr>
              <w:pStyle w:val="Compact"/>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tc>
      </w:tr>
    </w:tbl>
    <w:p>
      <w:pPr>
        <w:pStyle w:val="BodyText"/>
        <w:spacing w:before="120" w:after="80"/>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瓜环六聚体刚性中空桶状</w:t>
            </w:r>
          </w:p>
        </w:tc>
      </w:tr>
      <w:tr>
        <w:tc>
          <w:tcPr/>
          <w:p>
            <w:pPr>
              <w:pStyle w:val="Compact"/>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tc>
      </w:tr>
    </w:tbl>
    <w:p>
      <w:pPr>
        <w:pStyle w:val="BodyText"/>
        <w:spacing w:before="120"/>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spacing w:after="80"/>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机械互锁分子分类与命名</w:t>
            </w:r>
          </w:p>
        </w:tc>
      </w:tr>
      <w:tr>
        <w:tc>
          <w:tcPr/>
          <w:p>
            <w:pPr>
              <w:pStyle w:val="Compact"/>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tc>
      </w:tr>
    </w:tbl>
    <w:p>
      <w:pPr>
        <w:pStyle w:val="BodyText"/>
        <w:spacing w:before="120"/>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p>
    <w:p>
      <w:pPr>
        <w:pStyle w:val="BodyText"/>
        <w:ind w:firstLine="420"/>
      </w:pP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p>
    <w:p>
      <w:pPr>
        <w:pStyle w:val="BodyText"/>
        <w:ind w:firstLine="420"/>
      </w:pP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轮烷与索烃主客体合成路线</w:t>
            </w:r>
          </w:p>
        </w:tc>
      </w:tr>
      <w:tr>
        <w:tc>
          <w:tcPr/>
          <w:p>
            <w:pPr>
              <w:pStyle w:val="Compact"/>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tc>
      </w:tr>
    </w:tbl>
    <w:p>
      <w:pPr>
        <w:pStyle w:val="BodyText"/>
        <w:spacing w:before="120"/>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把模板法发展到最高水平</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2016 </w:t>
      </w:r>
      <w:r>
        <w:rPr>
          <w:rFonts w:hint="eastAsia" w:ascii="Times New Roman" w:hAnsi="Times New Roman" w:eastAsia="FangSong" w:cs="Times New Roman"/>
        </w:rPr>
        <w:t>年获得诺贝尔化学奖的第一座里程碑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过渡金属模板索烃晶体结构</w:t>
            </w:r>
          </w:p>
        </w:tc>
      </w:tr>
      <w:tr>
        <w:tc>
          <w:tcPr/>
          <w:p>
            <w:pPr>
              <w:pStyle w:val="Compact"/>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tc>
      </w:tr>
    </w:tbl>
    <w:p>
      <w:pPr>
        <w:pStyle w:val="BodyText"/>
        <w:spacing w:before="120"/>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电荷转移模板合成互锁轮烷</w:t>
            </w:r>
          </w:p>
        </w:tc>
      </w:tr>
      <w:tr>
        <w:tc>
          <w:tcPr/>
          <w:p>
            <w:pPr>
              <w:pStyle w:val="Compact"/>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tc>
      </w:tr>
    </w:tbl>
    <w:p>
      <w:pPr>
        <w:pStyle w:val="BodyText"/>
        <w:spacing w:before="120"/>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spacing w:after="80"/>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光驱动分子梭与双稳态开关</w:t>
            </w:r>
          </w:p>
        </w:tc>
      </w:tr>
      <w:tr>
        <w:tc>
          <w:tcPr/>
          <w:p>
            <w:pPr>
              <w:pStyle w:val="Compact"/>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tc>
      </w:tr>
    </w:tbl>
    <w:p>
      <w:pPr>
        <w:pStyle w:val="BodyText"/>
        <w:spacing w:before="120"/>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p>
    <w:p>
      <w:pPr>
        <w:pStyle w:val="BodyText"/>
        <w:spacing w:after="80"/>
        <w:ind w:firstLine="420"/>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人工分子泵穿环与位阻棘轮</w:t>
            </w:r>
          </w:p>
        </w:tc>
      </w:tr>
      <w:tr>
        <w:tc>
          <w:tcPr/>
          <w:p>
            <w:pPr>
              <w:pStyle w:val="Compact"/>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tc>
      </w:tr>
    </w:tbl>
    <w:p>
      <w:pPr>
        <w:pStyle w:val="BodyText"/>
        <w:spacing w:before="120"/>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spacing w:after="80"/>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配位定向自组装多面体分子</w:t>
            </w:r>
          </w:p>
        </w:tc>
      </w:tr>
      <w:tr>
        <w:tc>
          <w:tcPr/>
          <w:p>
            <w:pPr>
              <w:pStyle w:val="Compact"/>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tc>
      </w:tr>
    </w:tbl>
    <w:p>
      <w:pPr>
        <w:pStyle w:val="BodyText"/>
        <w:spacing w:before="120"/>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大二环双氮空腔质子包结</w:t>
            </w:r>
          </w:p>
        </w:tc>
      </w:tr>
      <w:tr>
        <w:tc>
          <w:tcPr/>
          <w:p>
            <w:pPr>
              <w:pStyle w:val="Compact"/>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tc>
      </w:tr>
    </w:tbl>
    <w:p>
      <w:pPr>
        <w:pStyle w:val="BodyText"/>
        <w:spacing w:before="120"/>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spacing w:after="80"/>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多孔配位聚合物骨架晶体</w:t>
            </w:r>
          </w:p>
        </w:tc>
      </w:tr>
      <w:tr>
        <w:tc>
          <w:tcPr/>
          <w:p>
            <w:pPr>
              <w:pStyle w:val="Compact"/>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tc>
      </w:tr>
    </w:tbl>
    <w:p>
      <w:pPr>
        <w:pStyle w:val="BodyText"/>
        <w:spacing w:before="120" w:after="80"/>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沸石咪唑酯骨架方钠石拓扑</w:t>
            </w:r>
          </w:p>
        </w:tc>
      </w:tr>
      <w:tr>
        <w:tc>
          <w:tcPr/>
          <w:p>
            <w:pPr>
              <w:pStyle w:val="Compact"/>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tc>
      </w:tr>
    </w:tbl>
    <w:p>
      <w:pPr>
        <w:pStyle w:val="BodyText"/>
        <w:spacing w:before="120"/>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多面体笼状孔道与气体吸附</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tc>
      </w:tr>
    </w:tbl>
    <w:p>
      <w:pPr>
        <w:pStyle w:val="BodyText"/>
        <w:spacing w:before="120"/>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spacing w:after="80"/>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互补卷曲模块组装网球胶囊</w:t>
            </w:r>
          </w:p>
        </w:tc>
      </w:tr>
      <w:tr>
        <w:tc>
          <w:tcPr/>
          <w:p>
            <w:pPr>
              <w:pStyle w:val="Compact"/>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tc>
      </w:tr>
    </w:tbl>
    <w:p>
      <w:pPr>
        <w:pStyle w:val="BodyText"/>
        <w:spacing w:before="120" w:after="80"/>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三聚氰酸六重氢键莲座网络</w:t>
            </w:r>
          </w:p>
        </w:tc>
      </w:tr>
      <w:tr>
        <w:tc>
          <w:tcPr/>
          <w:p>
            <w:pPr>
              <w:pStyle w:val="Compact"/>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tc>
      </w:tr>
    </w:tbl>
    <w:p>
      <w:pPr>
        <w:pStyle w:val="BodyText"/>
        <w:spacing w:before="120"/>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p>
    <w:p>
      <w:pPr>
        <w:pStyle w:val="Compact"/>
        <w:numPr>
          <w:ilvl w:val="0"/>
          <w:numId w:val="1010"/>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Compact"/>
        <w:numPr>
          <w:ilvl w:val="0"/>
          <w:numId w:val="1013"/>
        </w:numPr>
        <w:ind w:firstLine="420"/>
      </w:pP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p>
    <w:p>
      <w:pPr>
        <w:pStyle w:val="Compact"/>
        <w:numPr>
          <w:ilvl w:val="0"/>
          <w:numId w:val="1018"/>
        </w:numPr>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p>
    <w:p>
      <w:pPr>
        <w:pStyle w:val="Compact"/>
        <w:numPr>
          <w:ilvl w:val="0"/>
          <w:numId w:val="1020"/>
        </w:numPr>
        <w:ind w:firstLine="420"/>
      </w:pP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p>
    <w:p>
      <w:pPr>
        <w:pStyle w:val="Compact"/>
        <w:numPr>
          <w:ilvl w:val="0"/>
          <w:numId w:val="1023"/>
        </w:numPr>
        <w:ind w:firstLine="420"/>
      </w:pP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p>
    <w:p>
      <w:pPr>
        <w:pStyle w:val="Compact"/>
        <w:numPr>
          <w:ilvl w:val="0"/>
          <w:numId w:val="1024"/>
        </w:numPr>
        <w:ind w:firstLine="420"/>
      </w:pPr>
      <w:r>
        <w:rPr>
          <w:rFonts w:ascii="Times New Roman" w:hAnsi="Times New Roman" w:eastAsia="Times New Roman" w:cs="Times New Roman"/>
        </w:rPr>
        <w:t xml:space="preserve">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numPr>
          <w:ilvl w:val="0"/>
          <w:numId w:val="1024"/>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p>
      <w:pPr>
        <w:pStyle w:val="FirstParagraph"/>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2026-10-01T03:50:38Z</dcterms:created>
  <dcterms:modified xsi:type="dcterms:W3CDTF">2026-10-01T03:50:38Z</dcterms:modified>
</cp:coreProperties>
</file>

<file path=docProps/custom.xml><?xml version="1.0" encoding="utf-8"?>
<Properties xmlns="http://schemas.openxmlformats.org/officeDocument/2006/custom-properties" xmlns:vt="http://schemas.openxmlformats.org/officeDocument/2006/docPropsVTypes"/>
</file>