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吸光度与浓度</w:t>
            </w:r>
          </w:p>
        </w:tc>
      </w:tr>
      <w:tr>
        <w:tc>
          <w:tcPr/>
          <w:p>
            <w:pPr>
              <w:pStyle w:val="Compact"/>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tc>
      </w:tr>
    </w:tbl>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分光光度法测量相对误差</w:t>
            </w:r>
          </w:p>
        </w:tc>
      </w:tr>
      <w:tr>
        <w:tc>
          <w:tcPr/>
          <w:p>
            <w:pPr>
              <w:pStyle w:val="Compact"/>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示差法测量原理</w:t>
            </w:r>
          </w:p>
        </w:tc>
      </w:tr>
      <w:tr>
        <w:tc>
          <w:tcPr/>
          <w:p>
            <w:pPr>
              <w:pStyle w:val="Compact"/>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spacing w:after="80"/>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等摩尔连续变换法</w:t>
            </w:r>
          </w:p>
        </w:tc>
      </w:tr>
      <w:tr>
        <w:tc>
          <w:tcPr/>
          <w:p>
            <w:pPr>
              <w:pStyle w:val="Compact"/>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tc>
      </w:tr>
    </w:tbl>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spacing w:after="80"/>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摩尔比法测定络合物组成</w:t>
            </w:r>
          </w:p>
        </w:tc>
      </w:tr>
      <w:tr>
        <w:tc>
          <w:tcPr/>
          <w:p>
            <w:pPr>
              <w:pStyle w:val="Compact"/>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tc>
      </w:tr>
    </w:tbl>
    <w:p>
      <w:pPr>
        <w:pStyle w:val="BodyText"/>
        <w:spacing w:before="120"/>
        <w:ind w:firstLine="420"/>
      </w:pPr>
      <w:r>
        <w:rPr>
          <w:rFonts w:hint="eastAsia" w:ascii="Times New Roman" w:hAnsi="Times New Roman" w:eastAsia="FangSong" w:cs="Times New Roman"/>
        </w:rPr>
        <w:t>若生成的配合物稳定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纯粹双组分平衡的判据</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的严格判据</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4"/>
    <w:bookmarkEnd w:id="45"/>
    <w:bookmarkStart w:id="46"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p>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2026-10-01T03:51:46Z</dcterms:created>
  <dcterms:modified xsi:type="dcterms:W3CDTF">2026-10-01T03:51:46Z</dcterms:modified>
</cp:coreProperties>
</file>

<file path=docProps/custom.xml><?xml version="1.0" encoding="utf-8"?>
<Properties xmlns="http://schemas.openxmlformats.org/officeDocument/2006/custom-properties" xmlns:vt="http://schemas.openxmlformats.org/officeDocument/2006/docPropsVTypes"/>
</file>