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§22 </w:t>
      </w: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分子结构补充</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对称操作与群论基础</w:t>
            </w:r>
          </w:p>
        </w:tc>
        <w:tc>
          <w:tcPr/>
          <w:p>
            <w:pPr>
              <w:pStyle w:val="Compact"/>
              <w:jc w:val="center"/>
            </w:pPr>
            <w:r>
              <w:rPr>
                <w:rFonts w:hint="eastAsia" w:ascii="Times New Roman" w:hAnsi="Times New Roman" w:eastAsia="FangSong" w:cs="Times New Roman"/>
              </w:rPr>
              <w:t>写对称操作的矩阵表示</w:t>
            </w:r>
            <w:r>
              <w:rPr>
                <w:rFonts w:hint="eastAsia" w:ascii="Times New Roman" w:hAnsi="Times New Roman" w:eastAsia="Times New Roman" w:cs="Times New Roman"/>
              </w:rPr>
              <w:t>，</w:t>
            </w:r>
            <w:r>
              <w:rPr>
                <w:rFonts w:hint="eastAsia" w:ascii="Times New Roman" w:hAnsi="Times New Roman" w:eastAsia="FangSong" w:cs="Times New Roman"/>
              </w:rPr>
              <w:t>验证群公理并完成点群乘法表</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点群判定</w:t>
            </w:r>
          </w:p>
        </w:tc>
        <w:tc>
          <w:tcPr/>
          <w:p>
            <w:pPr>
              <w:pStyle w:val="Compact"/>
              <w:jc w:val="center"/>
            </w:pPr>
            <w:r>
              <w:rPr>
                <w:rFonts w:hint="eastAsia" w:ascii="Times New Roman" w:hAnsi="Times New Roman" w:eastAsia="FangSong" w:cs="Times New Roman"/>
              </w:rPr>
              <w:t>用决策树系统判定分子点群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Mulliken </w:t>
            </w:r>
            <w:r>
              <w:rPr>
                <w:rFonts w:hint="eastAsia" w:ascii="Times New Roman" w:hAnsi="Times New Roman" w:eastAsia="FangSong" w:cs="Times New Roman"/>
              </w:rPr>
              <w:t xml:space="preserve">符号规范命名</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特征标表与不可约表示</w:t>
            </w:r>
          </w:p>
        </w:tc>
        <w:tc>
          <w:tcPr/>
          <w:p>
            <w:pPr>
              <w:pStyle w:val="Compact"/>
              <w:jc w:val="center"/>
            </w:pPr>
            <w:r>
              <w:rPr>
                <w:rFonts w:hint="eastAsia" w:ascii="Times New Roman" w:hAnsi="Times New Roman" w:eastAsia="FangSong" w:cs="Times New Roman"/>
              </w:rPr>
              <w:t>读特征标表基函数栏</w:t>
            </w:r>
            <w:r>
              <w:rPr>
                <w:rFonts w:hint="eastAsia" w:ascii="Times New Roman" w:hAnsi="Times New Roman" w:eastAsia="Times New Roman" w:cs="Times New Roman"/>
              </w:rPr>
              <w:t>，</w:t>
            </w:r>
            <w:r>
              <w:rPr>
                <w:rFonts w:hint="eastAsia" w:ascii="Times New Roman" w:hAnsi="Times New Roman" w:eastAsia="FangSong" w:cs="Times New Roman"/>
              </w:rPr>
              <w:t>用大正交性定理与投影算符构造</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波函数</w:t>
            </w:r>
          </w:p>
        </w:tc>
      </w:tr>
      <w:tr>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群论推演</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与对称性匹配推导多原子分子轨道能级分裂</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振动与光谱选律</w:t>
            </w:r>
          </w:p>
        </w:tc>
        <w:tc>
          <w:tcPr/>
          <w:p>
            <w:pPr>
              <w:pStyle w:val="Compact"/>
              <w:jc w:val="center"/>
            </w:pPr>
            <w:r>
              <w:rPr>
                <w:rFonts w:hint="eastAsia" w:ascii="Times New Roman" w:hAnsi="Times New Roman" w:eastAsia="FangSong" w:cs="Times New Roman"/>
              </w:rPr>
              <w:t>用简正振动模式与可约表示纯化导出红外</w:t>
            </w:r>
            <w:r>
              <w:rPr>
                <w:rFonts w:hint="eastAsia" w:ascii="Times New Roman" w:hAnsi="Times New Roman" w:eastAsia="Times New Roman" w:cs="Times New Roman"/>
              </w:rPr>
              <w:t>/</w:t>
            </w:r>
            <w:r>
              <w:rPr>
                <w:rFonts w:hint="eastAsia" w:ascii="Times New Roman" w:hAnsi="Times New Roman" w:eastAsia="FangSong" w:cs="Times New Roman"/>
              </w:rPr>
              <w:t>拉曼选择定则与互斥律</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分子结构补充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手性与多中心成键</w:t>
            </w:r>
          </w:p>
        </w:tc>
        <w:tc>
          <w:tcPr/>
          <w:p>
            <w:pPr>
              <w:pStyle w:val="Compact"/>
              <w:jc w:val="center"/>
            </w:pPr>
            <w:r>
              <w:rPr>
                <w:rFonts w:hint="eastAsia" w:ascii="Times New Roman" w:hAnsi="Times New Roman" w:eastAsia="FangSong" w:cs="Times New Roman"/>
              </w:rPr>
              <w:t>由点群判手性充要条件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Wade </w:t>
            </w:r>
            <w:r>
              <w:rPr>
                <w:rFonts w:hint="eastAsia" w:ascii="Times New Roman" w:hAnsi="Times New Roman" w:eastAsia="FangSong" w:cs="Times New Roman"/>
              </w:rPr>
              <w:t xml:space="preserve">规则分析硼烷多面体与二茂铁成键</w:t>
            </w:r>
          </w:p>
        </w:tc>
      </w:tr>
    </w:tbl>
    <w:p>
      <w:pPr>
        <w:pStyle w:val="BodyText"/>
        <w:spacing w:before="120"/>
        <w:ind w:firstLine="420"/>
      </w:pPr>
      <w:r>
        <w:rPr>
          <w:rFonts w:hint="eastAsia" w:ascii="Times New Roman" w:hAnsi="Times New Roman" w:eastAsia="FangSong" w:cs="Times New Roman"/>
        </w:rPr>
        <w:t>本讲全面构建以分子几何对称性</w:t>
      </w:r>
      <w:r>
        <w:rPr>
          <w:rFonts w:hint="eastAsia" w:ascii="Times New Roman" w:hAnsi="Times New Roman" w:eastAsia="Times New Roman" w:cs="Times New Roman"/>
        </w:rPr>
        <w:t>、</w:t>
      </w:r>
      <w:r>
        <w:rPr>
          <w:rFonts w:hint="eastAsia" w:ascii="Times New Roman" w:hAnsi="Times New Roman" w:eastAsia="FangSong" w:cs="Times New Roman"/>
        </w:rPr>
        <w:t>群表示理论</w:t>
      </w:r>
      <w:r>
        <w:rPr>
          <w:rFonts w:hint="eastAsia" w:ascii="Times New Roman" w:hAnsi="Times New Roman" w:eastAsia="Times New Roman" w:cs="Times New Roman"/>
        </w:rPr>
        <w:t>、</w:t>
      </w:r>
      <w:r>
        <w:rPr>
          <w:rFonts w:hint="eastAsia" w:ascii="Times New Roman" w:hAnsi="Times New Roman" w:eastAsia="FangSong" w:cs="Times New Roman"/>
        </w:rPr>
        <w:t>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波函数及现代分子光谱选择定则为核心的高阶结构化学数理殿堂</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应能熟练掌握空间对称操作算符的正交变换矩阵推导与量子力学对易本质</w:t>
      </w:r>
      <w:r>
        <w:rPr>
          <w:rFonts w:hint="eastAsia" w:ascii="Times New Roman" w:hAnsi="Times New Roman" w:eastAsia="Times New Roman" w:cs="Times New Roman"/>
        </w:rPr>
        <w:t>，</w:t>
      </w:r>
      <w:r>
        <w:rPr>
          <w:rFonts w:hint="eastAsia" w:ascii="Times New Roman" w:hAnsi="Times New Roman" w:eastAsia="FangSong" w:cs="Times New Roman"/>
        </w:rPr>
        <w:t>深刻掌握数学群公理与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群乘法表构造</w:t>
      </w:r>
      <w:r>
        <w:rPr>
          <w:rFonts w:hint="eastAsia" w:ascii="Times New Roman" w:hAnsi="Times New Roman" w:eastAsia="Times New Roman" w:cs="Times New Roman"/>
        </w:rPr>
        <w:t>，</w:t>
      </w:r>
      <w:r>
        <w:rPr>
          <w:rFonts w:hint="eastAsia" w:ascii="Times New Roman" w:hAnsi="Times New Roman" w:eastAsia="FangSong" w:cs="Times New Roman"/>
        </w:rPr>
        <w:t>熟练应用共轭类</w:t>
      </w:r>
      <w:r>
        <w:rPr>
          <w:rFonts w:hint="eastAsia" w:ascii="Times New Roman" w:hAnsi="Times New Roman" w:eastAsia="Times New Roman" w:cs="Times New Roman"/>
        </w:rPr>
        <w:t>、</w:t>
      </w:r>
      <w:r>
        <w:rPr>
          <w:rFonts w:hint="eastAsia" w:ascii="Times New Roman" w:hAnsi="Times New Roman" w:eastAsia="FangSong" w:cs="Times New Roman"/>
        </w:rPr>
        <w:t>相似变换与群阶数定理</w:t>
      </w:r>
      <w:r>
        <w:rPr>
          <w:rFonts w:hint="eastAsia" w:ascii="Times New Roman" w:hAnsi="Times New Roman" w:eastAsia="Times New Roman" w:cs="Times New Roman"/>
        </w:rPr>
        <w:t>，</w:t>
      </w:r>
      <w:r>
        <w:rPr>
          <w:rFonts w:hint="eastAsia" w:ascii="Times New Roman" w:hAnsi="Times New Roman" w:eastAsia="FangSong" w:cs="Times New Roman"/>
        </w:rPr>
        <w:t>精通标准点群拓扑决策树在取代烷烃</w:t>
      </w:r>
      <w:r>
        <w:rPr>
          <w:rFonts w:hint="eastAsia" w:ascii="Times New Roman" w:hAnsi="Times New Roman" w:eastAsia="Times New Roman" w:cs="Times New Roman"/>
        </w:rPr>
        <w:t>、</w:t>
      </w:r>
      <w:r>
        <w:rPr>
          <w:rFonts w:hint="eastAsia" w:ascii="Times New Roman" w:hAnsi="Times New Roman" w:eastAsia="FangSong" w:cs="Times New Roman"/>
        </w:rPr>
        <w:t>顺反异构体</w:t>
      </w:r>
      <w:r>
        <w:rPr>
          <w:rFonts w:hint="eastAsia" w:ascii="Times New Roman" w:hAnsi="Times New Roman" w:eastAsia="Times New Roman" w:cs="Times New Roman"/>
        </w:rPr>
        <w:t>、</w:t>
      </w:r>
      <w:r>
        <w:rPr>
          <w:rFonts w:hint="eastAsia" w:ascii="Times New Roman" w:hAnsi="Times New Roman" w:eastAsia="FangSong" w:cs="Times New Roman"/>
        </w:rPr>
        <w:t>刚性多环芳烃及金属配合物中的立体定群</w:t>
      </w:r>
      <w:r>
        <w:rPr>
          <w:rFonts w:hint="eastAsia" w:ascii="Times New Roman" w:hAnsi="Times New Roman" w:eastAsia="Times New Roman" w:cs="Times New Roman"/>
        </w:rPr>
        <w:t>，</w:t>
      </w:r>
      <w:r>
        <w:rPr>
          <w:rFonts w:hint="eastAsia" w:ascii="Times New Roman" w:hAnsi="Times New Roman" w:eastAsia="FangSong" w:cs="Times New Roman"/>
        </w:rPr>
        <w:t>透彻掌握高阶映转轴</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的循环代数周期与几何本相</w:t>
      </w:r>
      <w:r>
        <w:rPr>
          <w:rFonts w:hint="eastAsia" w:ascii="Times New Roman" w:hAnsi="Times New Roman" w:eastAsia="Times New Roman" w:cs="Times New Roman"/>
        </w:rPr>
        <w:t>，</w:t>
      </w:r>
      <w:r>
        <w:rPr>
          <w:rFonts w:hint="eastAsia" w:ascii="Times New Roman" w:hAnsi="Times New Roman" w:eastAsia="FangSong" w:cs="Times New Roman"/>
        </w:rPr>
        <w:t>熟练解读</w:t>
      </w:r>
      <w:r>
        <w:rPr>
          <w:rFonts w:ascii="Times New Roman" w:hAnsi="Times New Roman" w:eastAsia="Times New Roman" w:cs="Times New Roman"/>
        </w:rPr>
        <w:t xml:space="preserve"> Mulliken </w:t>
      </w:r>
      <w:r>
        <w:rPr>
          <w:rFonts w:hint="eastAsia" w:ascii="Times New Roman" w:hAnsi="Times New Roman" w:eastAsia="FangSong" w:cs="Times New Roman"/>
        </w:rPr>
        <w:t>符号的简并度与宇称规则</w:t>
      </w:r>
      <w:r>
        <w:rPr>
          <w:rFonts w:hint="eastAsia" w:ascii="Times New Roman" w:hAnsi="Times New Roman" w:eastAsia="Times New Roman" w:cs="Times New Roman"/>
        </w:rPr>
        <w:t>，</w:t>
      </w:r>
      <w:r>
        <w:rPr>
          <w:rFonts w:hint="eastAsia" w:ascii="Times New Roman" w:hAnsi="Times New Roman" w:eastAsia="FangSong" w:cs="Times New Roman"/>
        </w:rPr>
        <w:t>深入理解大正交性定理与维数平方和定理</w:t>
      </w:r>
      <w:r>
        <w:rPr>
          <w:rFonts w:hint="eastAsia" w:ascii="Times New Roman" w:hAnsi="Times New Roman" w:eastAsia="Times New Roman" w:cs="Times New Roman"/>
        </w:rPr>
        <w:t>，</w:t>
      </w:r>
      <w:r>
        <w:rPr>
          <w:rFonts w:hint="eastAsia" w:ascii="Times New Roman" w:hAnsi="Times New Roman" w:eastAsia="FangSong" w:cs="Times New Roman"/>
        </w:rPr>
        <w:t>熟练运用投影算符构造规范</w:t>
      </w:r>
      <w:r>
        <w:rPr>
          <w:rFonts w:ascii="Times New Roman" w:hAnsi="Times New Roman" w:eastAsia="Times New Roman" w:cs="Times New Roman"/>
        </w:rPr>
        <w:t xml:space="preserve"> SALC </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精确推演水</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甲烷分子轨道能级分裂与光电子能谱特征</w:t>
      </w:r>
      <w:r>
        <w:rPr>
          <w:rFonts w:hint="eastAsia" w:ascii="Times New Roman" w:hAnsi="Times New Roman" w:eastAsia="Times New Roman" w:cs="Times New Roman"/>
        </w:rPr>
        <w:t>，</w:t>
      </w:r>
      <w:r>
        <w:rPr>
          <w:rFonts w:hint="eastAsia" w:ascii="Times New Roman" w:hAnsi="Times New Roman" w:eastAsia="FangSong" w:cs="Times New Roman"/>
        </w:rPr>
        <w:t>熟练计算多原子分子振动自由度并求解简正振动不可约表示直和</w:t>
      </w:r>
      <w:r>
        <w:rPr>
          <w:rFonts w:hint="eastAsia" w:ascii="Times New Roman" w:hAnsi="Times New Roman" w:eastAsia="Times New Roman" w:cs="Times New Roman"/>
        </w:rPr>
        <w:t>，</w:t>
      </w:r>
      <w:r>
        <w:rPr>
          <w:rFonts w:hint="eastAsia" w:ascii="Times New Roman" w:hAnsi="Times New Roman" w:eastAsia="FangSong" w:cs="Times New Roman"/>
        </w:rPr>
        <w:t>精通红外吸收与拉曼散射跃迁矩选择定则</w:t>
      </w:r>
      <w:r>
        <w:rPr>
          <w:rFonts w:hint="eastAsia" w:ascii="Times New Roman" w:hAnsi="Times New Roman" w:eastAsia="Times New Roman" w:cs="Times New Roman"/>
        </w:rPr>
        <w:t>，</w:t>
      </w:r>
      <w:r>
        <w:rPr>
          <w:rFonts w:hint="eastAsia" w:ascii="Times New Roman" w:hAnsi="Times New Roman" w:eastAsia="FangSong" w:cs="Times New Roman"/>
        </w:rPr>
        <w:t>深刻掌握中心对称分子互斥律的微观数理证明与分子构型反演</w:t>
      </w:r>
      <w:r>
        <w:rPr>
          <w:rFonts w:hint="eastAsia" w:ascii="Times New Roman" w:hAnsi="Times New Roman" w:eastAsia="Times New Roman" w:cs="Times New Roman"/>
        </w:rPr>
        <w:t>，</w:t>
      </w:r>
      <w:r>
        <w:rPr>
          <w:rFonts w:hint="eastAsia" w:ascii="Times New Roman" w:hAnsi="Times New Roman" w:eastAsia="FangSong" w:cs="Times New Roman"/>
        </w:rPr>
        <w:t>严格掌握分子手性与非零永久电偶极矩的群论充要判据并规避</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轴经典误区</w:t>
      </w:r>
      <w:r>
        <w:rPr>
          <w:rFonts w:hint="eastAsia" w:ascii="Times New Roman" w:hAnsi="Times New Roman" w:eastAsia="Times New Roman" w:cs="Times New Roman"/>
        </w:rPr>
        <w:t>，</w:t>
      </w:r>
      <w:r>
        <w:rPr>
          <w:rFonts w:hint="eastAsia" w:ascii="Times New Roman" w:hAnsi="Times New Roman" w:eastAsia="FangSong" w:cs="Times New Roman"/>
        </w:rPr>
        <w:t>熟练运用群论轨道杂化模型推导乙硼烷三中心两电子键与闭式多面体硼烷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Wade </w:t>
      </w:r>
      <w:r>
        <w:rPr>
          <w:rFonts w:hint="eastAsia" w:ascii="Times New Roman" w:hAnsi="Times New Roman" w:eastAsia="FangSong" w:cs="Times New Roman"/>
        </w:rPr>
        <w:t>规则的量子根源</w:t>
      </w:r>
      <w:r>
        <w:rPr>
          <w:rFonts w:hint="eastAsia" w:ascii="Times New Roman" w:hAnsi="Times New Roman" w:eastAsia="Times New Roman" w:cs="Times New Roman"/>
        </w:rPr>
        <w:t>，</w:t>
      </w:r>
      <w:r>
        <w:rPr>
          <w:rFonts w:hint="eastAsia" w:ascii="Times New Roman" w:hAnsi="Times New Roman" w:eastAsia="FangSong" w:cs="Times New Roman"/>
        </w:rPr>
        <w:t>掌握二茂铁夹心三明治配合物的前线轨道对称性配合与</w:t>
      </w:r>
      <w:r>
        <w:rPr>
          <w:rFonts w:ascii="Times New Roman" w:hAnsi="Times New Roman" w:eastAsia="Times New Roman" w:cs="Times New Roman"/>
        </w:rPr>
        <w:t xml:space="preserve"> 18 </w:t>
      </w:r>
      <w:r>
        <w:rPr>
          <w:rFonts w:hint="eastAsia" w:ascii="Times New Roman" w:hAnsi="Times New Roman" w:eastAsia="FangSong" w:cs="Times New Roman"/>
        </w:rPr>
        <w:t>电子闭壳层稳定性</w:t>
      </w:r>
      <w:r>
        <w:rPr>
          <w:rFonts w:hint="eastAsia" w:ascii="Times New Roman" w:hAnsi="Times New Roman" w:eastAsia="Times New Roman" w:cs="Times New Roman"/>
        </w:rPr>
        <w:t>，</w:t>
      </w:r>
      <w:r>
        <w:rPr>
          <w:rFonts w:hint="eastAsia" w:ascii="Times New Roman" w:hAnsi="Times New Roman" w:eastAsia="FangSong" w:cs="Times New Roman"/>
        </w:rPr>
        <w:t>并能从未知配合物光谱与旋光实验数据逆向反演分子空间点群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667000" cy="2507559"/>
                  <wp:effectExtent b="0" l="0" r="0" t="0"/>
                  <wp:docPr descr="" title="" id="11" name="Picture"/>
                  <a:graphic>
                    <a:graphicData uri="http://schemas.openxmlformats.org/drawingml/2006/picture">
                      <pic:pic>
                        <pic:nvPicPr>
                          <pic:cNvPr descr="ca31b8827f0d965ae3c23801a1ce708ed22b782a75609a32c792a8474c66e45e.jpg" id="12" name="Picture"/>
                          <pic:cNvPicPr>
                            <a:picLocks noChangeArrowheads="1" noChangeAspect="1"/>
                          </pic:cNvPicPr>
                        </pic:nvPicPr>
                        <pic:blipFill>
                          <a:blip r:embed="rId10"/>
                          <a:stretch>
                            <a:fillRect/>
                          </a:stretch>
                        </pic:blipFill>
                        <pic:spPr bwMode="auto">
                          <a:xfrm>
                            <a:off x="0" y="0"/>
                            <a:ext cx="2667000" cy="250755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430284"/>
                  <wp:effectExtent b="0" l="0" r="0" t="0"/>
                  <wp:docPr descr="" title="" id="14" name="Picture"/>
                  <a:graphic>
                    <a:graphicData uri="http://schemas.openxmlformats.org/drawingml/2006/picture">
                      <pic:pic>
                        <pic:nvPicPr>
                          <pic:cNvPr descr="5232a1d30cc4495c74bb25b9ef352a9b95cdc979f626199c9d58c82feb9005b7.jpg" id="15" name="Picture"/>
                          <pic:cNvPicPr>
                            <a:picLocks noChangeArrowheads="1" noChangeAspect="1"/>
                          </pic:cNvPicPr>
                        </pic:nvPicPr>
                        <pic:blipFill>
                          <a:blip r:embed="rId13"/>
                          <a:stretch>
                            <a:fillRect/>
                          </a:stretch>
                        </pic:blipFill>
                        <pic:spPr bwMode="auto">
                          <a:xfrm>
                            <a:off x="0" y="0"/>
                            <a:ext cx="2667000" cy="2430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3"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667000" cy="2588558"/>
                  <wp:effectExtent b="0" l="0" r="0" t="0"/>
                  <wp:docPr descr="" title="" id="18" name="Picture"/>
                  <a:graphic>
                    <a:graphicData uri="http://schemas.openxmlformats.org/drawingml/2006/picture">
                      <pic:pic>
                        <pic:nvPicPr>
                          <pic:cNvPr descr="b469f9af75902ce4f76eaee3c93d86fc6855ef07e623c0c6402c831e83af4c9e.jpg" id="19" name="Picture"/>
                          <pic:cNvPicPr>
                            <a:picLocks noChangeArrowheads="1" noChangeAspect="1"/>
                          </pic:cNvPicPr>
                        </pic:nvPicPr>
                        <pic:blipFill>
                          <a:blip r:embed="rId17"/>
                          <a:stretch>
                            <a:fillRect/>
                          </a:stretch>
                        </pic:blipFill>
                        <pic:spPr bwMode="auto">
                          <a:xfrm>
                            <a:off x="0" y="0"/>
                            <a:ext cx="2667000" cy="258855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592084"/>
                  <wp:effectExtent b="0" l="0" r="0" t="0"/>
                  <wp:docPr descr="" title="" id="21" name="Picture"/>
                  <a:graphic>
                    <a:graphicData uri="http://schemas.openxmlformats.org/drawingml/2006/picture">
                      <pic:pic>
                        <pic:nvPicPr>
                          <pic:cNvPr descr="07e4a9cfb55e93a424ba5390adee22f2bf97b9b64a7b7ea7d437a5ced25ebd66.jpg" id="22" name="Picture"/>
                          <pic:cNvPicPr>
                            <a:picLocks noChangeArrowheads="1" noChangeAspect="1"/>
                          </pic:cNvPicPr>
                        </pic:nvPicPr>
                        <pic:blipFill>
                          <a:blip r:embed="rId20"/>
                          <a:stretch>
                            <a:fillRect/>
                          </a:stretch>
                        </pic:blipFill>
                        <pic:spPr bwMode="auto">
                          <a:xfrm>
                            <a:off x="0" y="0"/>
                            <a:ext cx="2667000" cy="25920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0"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点群判定的标准拓扑决策流程遵循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667000" cy="2510117"/>
                  <wp:effectExtent b="0" l="0" r="0" t="0"/>
                  <wp:docPr descr="" title="" id="25" name="Picture"/>
                  <a:graphic>
                    <a:graphicData uri="http://schemas.openxmlformats.org/drawingml/2006/picture">
                      <pic:pic>
                        <pic:nvPicPr>
                          <pic:cNvPr descr="d79e64c4d3d3eef3dd47c59c1d5c8c43d3e2023baf8033bb458e3b85d0dac3b9.jpg" id="26" name="Picture"/>
                          <pic:cNvPicPr>
                            <a:picLocks noChangeArrowheads="1" noChangeAspect="1"/>
                          </pic:cNvPicPr>
                        </pic:nvPicPr>
                        <pic:blipFill>
                          <a:blip r:embed="rId24"/>
                          <a:stretch>
                            <a:fillRect/>
                          </a:stretch>
                        </pic:blipFill>
                        <pic:spPr bwMode="auto">
                          <a:xfrm>
                            <a:off x="0" y="0"/>
                            <a:ext cx="2667000" cy="25101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584088"/>
                  <wp:effectExtent b="0" l="0" r="0" t="0"/>
                  <wp:docPr descr="" title="" id="28" name="Picture"/>
                  <a:graphic>
                    <a:graphicData uri="http://schemas.openxmlformats.org/drawingml/2006/picture">
                      <pic:pic>
                        <pic:nvPicPr>
                          <pic:cNvPr descr="74dc5a7203590055bf9f3031d9c1b18424a559ecf8a2e627366a957b7a03effc.jpg" id="29" name="Picture"/>
                          <pic:cNvPicPr>
                            <a:picLocks noChangeArrowheads="1" noChangeAspect="1"/>
                          </pic:cNvPicPr>
                        </pic:nvPicPr>
                        <pic:blipFill>
                          <a:blip r:embed="rId27"/>
                          <a:stretch>
                            <a:fillRect/>
                          </a:stretch>
                        </pic:blipFill>
                        <pic:spPr bwMode="auto">
                          <a:xfrm>
                            <a:off x="0" y="0"/>
                            <a:ext cx="2667000" cy="25840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是点群代数理论向分子量子力学转译的最强数学矩阵字典</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667000" cy="2459498"/>
                  <wp:effectExtent b="0" l="0" r="0" t="0"/>
                  <wp:docPr descr="" title="" id="32" name="Picture"/>
                  <a:graphic>
                    <a:graphicData uri="http://schemas.openxmlformats.org/drawingml/2006/picture">
                      <pic:pic>
                        <pic:nvPicPr>
                          <pic:cNvPr descr="3caece79b5b2999eac79dd62a2364951d05e080edf96fa4c90f208d15d8a19a1.jpg" id="33" name="Picture"/>
                          <pic:cNvPicPr>
                            <a:picLocks noChangeArrowheads="1" noChangeAspect="1"/>
                          </pic:cNvPicPr>
                        </pic:nvPicPr>
                        <pic:blipFill>
                          <a:blip r:embed="rId31"/>
                          <a:stretch>
                            <a:fillRect/>
                          </a:stretch>
                        </pic:blipFill>
                        <pic:spPr bwMode="auto">
                          <a:xfrm>
                            <a:off x="0" y="0"/>
                            <a:ext cx="2667000" cy="245949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058095"/>
                  <wp:effectExtent b="0" l="0" r="0" t="0"/>
                  <wp:docPr descr="" title="" id="35" name="Picture"/>
                  <a:graphic>
                    <a:graphicData uri="http://schemas.openxmlformats.org/drawingml/2006/picture">
                      <pic:pic>
                        <pic:nvPicPr>
                          <pic:cNvPr descr="0e689a2a3685e7566b8391aa2556e9facaa76d398564a7668c7b4d98d91e2d6b.jpg" id="36" name="Picture"/>
                          <pic:cNvPicPr>
                            <a:picLocks noChangeArrowheads="1" noChangeAspect="1"/>
                          </pic:cNvPicPr>
                        </pic:nvPicPr>
                        <pic:blipFill>
                          <a:blip r:embed="rId34"/>
                          <a:stretch>
                            <a:fillRect/>
                          </a:stretch>
                        </pic:blipFill>
                        <pic:spPr bwMode="auto">
                          <a:xfrm>
                            <a:off x="0" y="0"/>
                            <a:ext cx="2667000" cy="20580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4"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将导致无法克服的代数灾难</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667000" cy="2049638"/>
                  <wp:effectExtent b="0" l="0" r="0" t="0"/>
                  <wp:docPr descr="" title="" id="39" name="Picture"/>
                  <a:graphic>
                    <a:graphicData uri="http://schemas.openxmlformats.org/drawingml/2006/picture">
                      <pic:pic>
                        <pic:nvPicPr>
                          <pic:cNvPr descr="c1862b52bbe5d13e4c01078dc5cafb831b41a7c7694b012e76c896a03291fef0.jpg" id="40" name="Picture"/>
                          <pic:cNvPicPr>
                            <a:picLocks noChangeArrowheads="1" noChangeAspect="1"/>
                          </pic:cNvPicPr>
                        </pic:nvPicPr>
                        <pic:blipFill>
                          <a:blip r:embed="rId38"/>
                          <a:stretch>
                            <a:fillRect/>
                          </a:stretch>
                        </pic:blipFill>
                        <pic:spPr bwMode="auto">
                          <a:xfrm>
                            <a:off x="0" y="0"/>
                            <a:ext cx="2667000" cy="20496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024944"/>
                  <wp:effectExtent b="0" l="0" r="0" t="0"/>
                  <wp:docPr descr="" title="" id="42" name="Picture"/>
                  <a:graphic>
                    <a:graphicData uri="http://schemas.openxmlformats.org/drawingml/2006/picture">
                      <pic:pic>
                        <pic:nvPicPr>
                          <pic:cNvPr descr="1838b203fcb1c45f32f90497358d6a660f968c15d25980a2af3ed41f0bd080d6.jpg" id="43" name="Picture"/>
                          <pic:cNvPicPr>
                            <a:picLocks noChangeArrowheads="1" noChangeAspect="1"/>
                          </pic:cNvPicPr>
                        </pic:nvPicPr>
                        <pic:blipFill>
                          <a:blip r:embed="rId41"/>
                          <a:stretch>
                            <a:fillRect/>
                          </a:stretch>
                        </pic:blipFill>
                        <pic:spPr bwMode="auto">
                          <a:xfrm>
                            <a:off x="0" y="0"/>
                            <a:ext cx="2667000" cy="20249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4"/>
    <w:bookmarkStart w:id="51"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667000" cy="1351123"/>
                  <wp:effectExtent b="0" l="0" r="0" t="0"/>
                  <wp:docPr descr="" title="" id="46" name="Picture"/>
                  <a:graphic>
                    <a:graphicData uri="http://schemas.openxmlformats.org/drawingml/2006/picture">
                      <pic:pic>
                        <pic:nvPicPr>
                          <pic:cNvPr descr="7cf8adcddaad3a2092e0899a500fe5f1b0bc7aa858b05e2836dff00b9232ce6b.jpg" id="47" name="Picture"/>
                          <pic:cNvPicPr>
                            <a:picLocks noChangeArrowheads="1" noChangeAspect="1"/>
                          </pic:cNvPicPr>
                        </pic:nvPicPr>
                        <pic:blipFill>
                          <a:blip r:embed="rId45"/>
                          <a:stretch>
                            <a:fillRect/>
                          </a:stretch>
                        </pic:blipFill>
                        <pic:spPr bwMode="auto">
                          <a:xfrm>
                            <a:off x="0" y="0"/>
                            <a:ext cx="2667000" cy="135112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25386"/>
                  <wp:effectExtent b="0" l="0" r="0" t="0"/>
                  <wp:docPr descr="" title="" id="49" name="Picture"/>
                  <a:graphic>
                    <a:graphicData uri="http://schemas.openxmlformats.org/drawingml/2006/picture">
                      <pic:pic>
                        <pic:nvPicPr>
                          <pic:cNvPr descr="dbff07bd448154521ef5b75c0c0855e2bac9c8fcb4b121357e1c3c87e66eb77c.jpg" id="50" name="Picture"/>
                          <pic:cNvPicPr>
                            <a:picLocks noChangeArrowheads="1" noChangeAspect="1"/>
                          </pic:cNvPicPr>
                        </pic:nvPicPr>
                        <pic:blipFill>
                          <a:blip r:embed="rId48"/>
                          <a:stretch>
                            <a:fillRect/>
                          </a:stretch>
                        </pic:blipFill>
                        <pic:spPr bwMode="auto">
                          <a:xfrm>
                            <a:off x="0" y="0"/>
                            <a:ext cx="2667000" cy="8253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667000" cy="2126051"/>
                  <wp:effectExtent b="0" l="0" r="0" t="0"/>
                  <wp:docPr descr="" title="" id="53" name="Picture"/>
                  <a:graphic>
                    <a:graphicData uri="http://schemas.openxmlformats.org/drawingml/2006/picture">
                      <pic:pic>
                        <pic:nvPicPr>
                          <pic:cNvPr descr="fca53ded925850b8a68107c821d20ad0e5ac0daa649ba88285abc1e730255595.jpg" id="54" name="Picture"/>
                          <pic:cNvPicPr>
                            <a:picLocks noChangeArrowheads="1" noChangeAspect="1"/>
                          </pic:cNvPicPr>
                        </pic:nvPicPr>
                        <pic:blipFill>
                          <a:blip r:embed="rId52"/>
                          <a:stretch>
                            <a:fillRect/>
                          </a:stretch>
                        </pic:blipFill>
                        <pic:spPr bwMode="auto">
                          <a:xfrm>
                            <a:off x="0" y="0"/>
                            <a:ext cx="2667000" cy="212605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5560"/>
                  <wp:effectExtent b="0" l="0" r="0" t="0"/>
                  <wp:docPr descr="" title="" id="56" name="Picture"/>
                  <a:graphic>
                    <a:graphicData uri="http://schemas.openxmlformats.org/drawingml/2006/picture">
                      <pic:pic>
                        <pic:nvPicPr>
                          <pic:cNvPr descr="717079b00009a16c412e0d3df8c1677d5b29d7a6b3f62be71944bc7f0bf4c054.jpg" id="57" name="Picture"/>
                          <pic:cNvPicPr>
                            <a:picLocks noChangeArrowheads="1" noChangeAspect="1"/>
                          </pic:cNvPicPr>
                        </pic:nvPicPr>
                        <pic:blipFill>
                          <a:blip r:embed="rId55"/>
                          <a:stretch>
                            <a:fillRect/>
                          </a:stretch>
                        </pic:blipFill>
                        <pic:spPr bwMode="auto">
                          <a:xfrm>
                            <a:off x="0" y="0"/>
                            <a:ext cx="2667000" cy="1315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65"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667000" cy="2362463"/>
                  <wp:effectExtent b="0" l="0" r="0" t="0"/>
                  <wp:docPr descr="" title="" id="60" name="Picture"/>
                  <a:graphic>
                    <a:graphicData uri="http://schemas.openxmlformats.org/drawingml/2006/picture">
                      <pic:pic>
                        <pic:nvPicPr>
                          <pic:cNvPr descr="0af565f6492ef7cad63015d385334c61ffbb671326f725111e1ee07fcdff306f.jpg" id="61" name="Picture"/>
                          <pic:cNvPicPr>
                            <a:picLocks noChangeArrowheads="1" noChangeAspect="1"/>
                          </pic:cNvPicPr>
                        </pic:nvPicPr>
                        <pic:blipFill>
                          <a:blip r:embed="rId59"/>
                          <a:stretch>
                            <a:fillRect/>
                          </a:stretch>
                        </pic:blipFill>
                        <pic:spPr bwMode="auto">
                          <a:xfrm>
                            <a:off x="0" y="0"/>
                            <a:ext cx="2667000" cy="23624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348119"/>
                  <wp:effectExtent b="0" l="0" r="0" t="0"/>
                  <wp:docPr descr="" title="" id="63" name="Picture"/>
                  <a:graphic>
                    <a:graphicData uri="http://schemas.openxmlformats.org/drawingml/2006/picture">
                      <pic:pic>
                        <pic:nvPicPr>
                          <pic:cNvPr descr="0c0c2ebdb165c72483c61fdf4e358d6a9d0b2f1ca195b8257e569d0bda8dd9b8.jpg" id="64" name="Picture"/>
                          <pic:cNvPicPr>
                            <a:picLocks noChangeArrowheads="1" noChangeAspect="1"/>
                          </pic:cNvPicPr>
                        </pic:nvPicPr>
                        <pic:blipFill>
                          <a:blip r:embed="rId62"/>
                          <a:stretch>
                            <a:fillRect/>
                          </a:stretch>
                        </pic:blipFill>
                        <pic:spPr bwMode="auto">
                          <a:xfrm>
                            <a:off x="0" y="0"/>
                            <a:ext cx="2667000" cy="23481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78"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667000" cy="2588814"/>
                  <wp:effectExtent b="0" l="0" r="0" t="0"/>
                  <wp:docPr descr="" title="" id="67" name="Picture"/>
                  <a:graphic>
                    <a:graphicData uri="http://schemas.openxmlformats.org/drawingml/2006/picture">
                      <pic:pic>
                        <pic:nvPicPr>
                          <pic:cNvPr descr="a6ec2692502aa0c208231764c7d11edfd3c25dccc480775e93f91c983e957e9f.jpg" id="68" name="Picture"/>
                          <pic:cNvPicPr>
                            <a:picLocks noChangeArrowheads="1" noChangeAspect="1"/>
                          </pic:cNvPicPr>
                        </pic:nvPicPr>
                        <pic:blipFill>
                          <a:blip r:embed="rId66"/>
                          <a:stretch>
                            <a:fillRect/>
                          </a:stretch>
                        </pic:blipFill>
                        <pic:spPr bwMode="auto">
                          <a:xfrm>
                            <a:off x="0" y="0"/>
                            <a:ext cx="2667000" cy="25888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614361"/>
                  <wp:effectExtent b="0" l="0" r="0" t="0"/>
                  <wp:docPr descr="" title="" id="70" name="Picture"/>
                  <a:graphic>
                    <a:graphicData uri="http://schemas.openxmlformats.org/drawingml/2006/picture">
                      <pic:pic>
                        <pic:nvPicPr>
                          <pic:cNvPr descr="218d54420a570b1399599e0703d39a5e0af939e7913a336f53ee5dfc990c2ef8.jpg" id="71" name="Picture"/>
                          <pic:cNvPicPr>
                            <a:picLocks noChangeArrowheads="1" noChangeAspect="1"/>
                          </pic:cNvPicPr>
                        </pic:nvPicPr>
                        <pic:blipFill>
                          <a:blip r:embed="rId69"/>
                          <a:stretch>
                            <a:fillRect/>
                          </a:stretch>
                        </pic:blipFill>
                        <pic:spPr bwMode="auto">
                          <a:xfrm>
                            <a:off x="0" y="0"/>
                            <a:ext cx="2667000" cy="261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667000" cy="1132381"/>
                  <wp:effectExtent b="0" l="0" r="0" t="0"/>
                  <wp:docPr descr="" title="" id="73" name="Picture"/>
                  <a:graphic>
                    <a:graphicData uri="http://schemas.openxmlformats.org/drawingml/2006/picture">
                      <pic:pic>
                        <pic:nvPicPr>
                          <pic:cNvPr descr="00c288fedbeb8768380746d01d8ff67430682bac1ac3fc75c73600b7fb0f1e87.jpg" id="74" name="Picture"/>
                          <pic:cNvPicPr>
                            <a:picLocks noChangeArrowheads="1" noChangeAspect="1"/>
                          </pic:cNvPicPr>
                        </pic:nvPicPr>
                        <pic:blipFill>
                          <a:blip r:embed="rId72"/>
                          <a:stretch>
                            <a:fillRect/>
                          </a:stretch>
                        </pic:blipFill>
                        <pic:spPr bwMode="auto">
                          <a:xfrm>
                            <a:off x="0" y="0"/>
                            <a:ext cx="2667000" cy="11323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91846"/>
                  <wp:effectExtent b="0" l="0" r="0" t="0"/>
                  <wp:docPr descr="" title="" id="76" name="Picture"/>
                  <a:graphic>
                    <a:graphicData uri="http://schemas.openxmlformats.org/drawingml/2006/picture">
                      <pic:pic>
                        <pic:nvPicPr>
                          <pic:cNvPr descr="b369ac278cde524d4dd934a0f1d378fb7125fc19403d26853d3b10ff1f2add24.jpg" id="77" name="Picture"/>
                          <pic:cNvPicPr>
                            <a:picLocks noChangeArrowheads="1" noChangeAspect="1"/>
                          </pic:cNvPicPr>
                        </pic:nvPicPr>
                        <pic:blipFill>
                          <a:blip r:embed="rId75"/>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8"/>
    <w:bookmarkStart w:id="94" w:name="化竞核心命题陷阱与-8-大高频失分误区清单"/>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化竞核心命题陷阱与</w:t>
      </w:r>
      <w:r>
        <w:rPr>
          <w:rFonts w:ascii="Times New Roman" w:hAnsi="Times New Roman" w:eastAsia="Times New Roman" w:cs="Times New Roman"/>
        </w:rPr>
        <w:t xml:space="preserve"> 8 </w:t>
      </w:r>
      <w:r>
        <w:rPr>
          <w:rFonts w:hint="eastAsia" w:ascii="Times New Roman" w:hAnsi="Times New Roman" w:eastAsia="SimHei" w:cs="Times New Roman"/>
        </w:rPr>
        <w:t xml:space="preserve">大高频失分误区清单</w:t>
      </w:r>
    </w:p>
    <w:p>
      <w:pPr>
        <w:pStyle w:val="FirstParagraph"/>
        <w:spacing w:after="80"/>
        <w:ind w:firstLine="420"/>
      </w:pPr>
      <w:r>
        <w:rPr>
          <w:rFonts w:hint="eastAsia" w:ascii="Times New Roman" w:hAnsi="Times New Roman" w:eastAsia="FangSong" w:cs="Times New Roman"/>
        </w:rPr>
        <w:t>分子对称性与群论应用由于涉及抽象的拓扑几何与近世代数投影变换</w:t>
      </w:r>
      <w:r>
        <w:rPr>
          <w:rFonts w:hint="eastAsia" w:ascii="Times New Roman" w:hAnsi="Times New Roman" w:eastAsia="Times New Roman" w:cs="Times New Roman"/>
        </w:rPr>
        <w:t>，</w:t>
      </w:r>
      <w:r>
        <w:rPr>
          <w:rFonts w:hint="eastAsia" w:ascii="Times New Roman" w:hAnsi="Times New Roman" w:eastAsia="FangSong" w:cs="Times New Roman"/>
        </w:rPr>
        <w:t>在全国高联冬令营中常年作为拔高区分度的</w:t>
      </w:r>
      <w:r>
        <w:rPr>
          <w:rFonts w:hint="eastAsia" w:ascii="Times New Roman" w:hAnsi="Times New Roman" w:eastAsia="Times New Roman" w:cs="Times New Roman"/>
        </w:rPr>
        <w:t>“</w:t>
      </w:r>
      <w:r>
        <w:rPr>
          <w:rFonts w:hint="eastAsia" w:ascii="Times New Roman" w:hAnsi="Times New Roman" w:eastAsia="FangSong" w:cs="Times New Roman"/>
        </w:rPr>
        <w:t>战略决胜考点</w:t>
      </w:r>
      <w:r>
        <w:rPr>
          <w:rFonts w:hint="eastAsia" w:ascii="Times New Roman" w:hAnsi="Times New Roman" w:eastAsia="Times New Roman" w:cs="Times New Roman"/>
        </w:rPr>
        <w:t>”。</w:t>
      </w:r>
      <w:r>
        <w:rPr>
          <w:rFonts w:hint="eastAsia" w:ascii="Times New Roman" w:hAnsi="Times New Roman" w:eastAsia="FangSong" w:cs="Times New Roman"/>
        </w:rPr>
        <w:t>以下提炼出赛场</w:t>
      </w:r>
      <w:r>
        <w:rPr>
          <w:rFonts w:ascii="Times New Roman" w:hAnsi="Times New Roman" w:eastAsia="Times New Roman" w:cs="Times New Roman"/>
        </w:rPr>
        <w:t xml:space="preserve"> 8 </w:t>
      </w:r>
      <w:r>
        <w:rPr>
          <w:rFonts w:hint="eastAsia" w:ascii="Times New Roman" w:hAnsi="Times New Roman" w:eastAsia="FangSong" w:cs="Times New Roman"/>
        </w:rPr>
        <w:t>大高频失分失分陷阱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八面体配合物对映体全景排布图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二茂铁夹心轨道能级对比图</w:t>
            </w:r>
          </w:p>
        </w:tc>
      </w:tr>
      <w:tr>
        <w:tc>
          <w:tcPr/>
          <w:p>
            <w:pPr>
              <w:pStyle w:val="Compact"/>
              <w:jc w:val="center"/>
            </w:pPr>
            <w:r>
              <w:rPr>
                <w:rFonts w:ascii="Times New Roman" w:hAnsi="Times New Roman" w:eastAsia="Times New Roman" w:cs="Times New Roman"/>
              </w:rPr>
              <w:drawing>
                <wp:inline>
                  <wp:extent cx="2667000" cy="1547287"/>
                  <wp:effectExtent b="0" l="0" r="0" t="0"/>
                  <wp:docPr descr="" title="" id="80" name="Picture"/>
                  <a:graphic>
                    <a:graphicData uri="http://schemas.openxmlformats.org/drawingml/2006/picture">
                      <pic:pic>
                        <pic:nvPicPr>
                          <pic:cNvPr descr="4c27fee08a2e6b356393bf35b45f062c8d72934397769812110c90e1920d5585.jpg" id="81" name="Picture"/>
                          <pic:cNvPicPr>
                            <a:picLocks noChangeArrowheads="1" noChangeAspect="1"/>
                          </pic:cNvPicPr>
                        </pic:nvPicPr>
                        <pic:blipFill>
                          <a:blip r:embed="rId79"/>
                          <a:stretch>
                            <a:fillRect/>
                          </a:stretch>
                        </pic:blipFill>
                        <pic:spPr bwMode="auto">
                          <a:xfrm>
                            <a:off x="0" y="0"/>
                            <a:ext cx="2667000" cy="15472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17956"/>
                  <wp:effectExtent b="0" l="0" r="0" t="0"/>
                  <wp:docPr descr="" title="" id="83" name="Picture"/>
                  <a:graphic>
                    <a:graphicData uri="http://schemas.openxmlformats.org/drawingml/2006/picture">
                      <pic:pic>
                        <pic:nvPicPr>
                          <pic:cNvPr descr="889d0c1fa01079cfe5390c6dc3d4c3f3fc9c8adb5ea8997d98784d53a2078422.jpg" id="84" name="Picture"/>
                          <pic:cNvPicPr>
                            <a:picLocks noChangeArrowheads="1" noChangeAspect="1"/>
                          </pic:cNvPicPr>
                        </pic:nvPicPr>
                        <pic:blipFill>
                          <a:blip r:embed="rId82"/>
                          <a:stretch>
                            <a:fillRect/>
                          </a:stretch>
                        </pic:blipFill>
                        <pic:spPr bwMode="auto">
                          <a:xfrm>
                            <a:off x="0" y="0"/>
                            <a:ext cx="2667000" cy="171795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配合物对手性空间排布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夹心配合物轨道能级图</w:t>
            </w:r>
          </w:p>
        </w:tc>
      </w:tr>
    </w:tbl>
    <w:p>
      <w:pPr>
        <w:pStyle w:val="Compact"/>
        <w:numPr>
          <w:ilvl w:val="0"/>
          <w:numId w:val="1001"/>
        </w:numPr>
        <w:spacing w:before="120"/>
        <w:ind w:firstLine="420"/>
      </w:pPr>
      <w:r>
        <w:rPr>
          <w:rFonts w:hint="eastAsia" w:ascii="Times New Roman" w:hAnsi="Times New Roman" w:eastAsia="FangSong" w:cs="Times New Roman"/>
          <w:b/>
          <w:bCs/>
        </w:rPr>
        <w:t xml:space="preserve">手性判定机械依赖手性碳与忽视</w:t>
      </w:r>
      <w:r>
        <w:rPr>
          <w:rFonts w:ascii="Times New Roman" w:hAnsi="Times New Roman" w:eastAsia="Times New Roman" w:cs="Times New Roman"/>
          <w:b/>
          <w:bCs/>
        </w:rPr>
        <w:t xml:space="preserve"> </w:t>
      </w:r>
      <m:oMath>
        <m:sSub>
          <m:e>
            <m:r>
              <m:t>S</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大量选手机械背诵</w:t>
      </w:r>
      <w:r>
        <w:rPr>
          <w:rFonts w:hint="eastAsia" w:ascii="Times New Roman" w:hAnsi="Times New Roman" w:eastAsia="Times New Roman" w:cs="Times New Roman"/>
        </w:rPr>
        <w:t>“</w:t>
      </w:r>
      <w:r>
        <w:rPr>
          <w:rFonts w:hint="eastAsia" w:ascii="Times New Roman" w:hAnsi="Times New Roman" w:eastAsia="FangSong" w:cs="Times New Roman"/>
        </w:rPr>
        <w:t>有手性碳就有手性</w:t>
      </w:r>
      <w:r>
        <w:rPr>
          <w:rFonts w:hint="eastAsia" w:ascii="Times New Roman" w:hAnsi="Times New Roman" w:eastAsia="Times New Roman" w:cs="Times New Roman"/>
        </w:rPr>
        <w:t>，</w:t>
      </w:r>
      <w:r>
        <w:rPr>
          <w:rFonts w:hint="eastAsia" w:ascii="Times New Roman" w:hAnsi="Times New Roman" w:eastAsia="FangSong" w:cs="Times New Roman"/>
        </w:rPr>
        <w:t>无手性面和对称中心就有手性</w:t>
      </w:r>
      <w:r>
        <w:rPr>
          <w:rFonts w:hint="eastAsia" w:ascii="Times New Roman" w:hAnsi="Times New Roman" w:eastAsia="Times New Roman" w:cs="Times New Roman"/>
        </w:rPr>
        <w:t>”。</w:t>
      </w:r>
      <w:r>
        <w:rPr>
          <w:rFonts w:hint="eastAsia" w:ascii="Times New Roman" w:hAnsi="Times New Roman" w:eastAsia="FangSong" w:cs="Times New Roman"/>
        </w:rPr>
        <w:t>在面对螺环烃</w:t>
      </w:r>
      <w:r>
        <w:rPr>
          <w:rFonts w:hint="eastAsia" w:ascii="Times New Roman" w:hAnsi="Times New Roman" w:eastAsia="Times New Roman" w:cs="Times New Roman"/>
        </w:rPr>
        <w:t>、</w:t>
      </w:r>
      <w:r>
        <w:rPr>
          <w:rFonts w:hint="eastAsia" w:ascii="Times New Roman" w:hAnsi="Times New Roman" w:eastAsia="FangSong" w:cs="Times New Roman"/>
        </w:rPr>
        <w:t>联苯类受阻旋转分子或环辛四烯四取代衍生物时</w:t>
      </w:r>
      <w:r>
        <w:rPr>
          <w:rFonts w:hint="eastAsia" w:ascii="Times New Roman" w:hAnsi="Times New Roman" w:eastAsia="Times New Roman" w:cs="Times New Roman"/>
        </w:rPr>
        <w:t>，</w:t>
      </w:r>
      <w:r>
        <w:rPr>
          <w:rFonts w:hint="eastAsia" w:ascii="Times New Roman" w:hAnsi="Times New Roman" w:eastAsia="FangSong" w:cs="Times New Roman"/>
        </w:rPr>
        <w:t>若忽略了映转轴</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将误判为手性分子</w:t>
      </w:r>
      <w:r>
        <w:rPr>
          <w:rFonts w:hint="eastAsia" w:ascii="Times New Roman" w:hAnsi="Times New Roman" w:eastAsia="Times New Roman" w:cs="Times New Roman"/>
        </w:rPr>
        <w:t>。</w:t>
      </w:r>
      <w:r>
        <w:rPr>
          <w:rFonts w:hint="eastAsia" w:ascii="Times New Roman" w:hAnsi="Times New Roman" w:eastAsia="FangSong" w:cs="Times New Roman"/>
        </w:rPr>
        <w:t>必须谨记经典反例</w:t>
      </w:r>
      <w:r>
        <w:rPr>
          <w:rFonts w:hint="eastAsia" w:ascii="Times New Roman" w:hAnsi="Times New Roman" w:eastAsia="Times New Roman" w:cs="Times New Roman"/>
        </w:rPr>
        <w:t>：</w:t>
      </w:r>
      <w:r>
        <w:rPr>
          <w:rFonts w:hint="eastAsia" w:ascii="Times New Roman" w:hAnsi="Times New Roman" w:eastAsia="FangSong" w:cs="Times New Roman"/>
        </w:rPr>
        <w:t>若分子含有四重映转轴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紧接着水平镜像反射与自身重合</w:t>
      </w:r>
      <w:r>
        <w:rPr>
          <w:rFonts w:hint="eastAsia" w:ascii="Times New Roman" w:hAnsi="Times New Roman" w:eastAsia="Times New Roman" w:cs="Times New Roman"/>
        </w:rPr>
        <w:t>），</w:t>
      </w:r>
      <w:r>
        <w:rPr>
          <w:rFonts w:hint="eastAsia" w:ascii="Times New Roman" w:hAnsi="Times New Roman" w:eastAsia="FangSong" w:cs="Times New Roman"/>
        </w:rPr>
        <w:t>尽管分子内部既无对称面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该分子依然是完全非手性的内消旋体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映转轴</w:t>
      </w:r>
      <w:r>
        <w:rPr>
          <w:rFonts w:ascii="Times New Roman" w:hAnsi="Times New Roman" w:eastAsia="Times New Roman" w:cs="Times New Roman"/>
          <w:b/>
          <w:bCs/>
        </w:rPr>
        <w:t xml:space="preserve"> </w:t>
      </w:r>
      <m:oMath>
        <m:sSub>
          <m:e>
            <m:r>
              <m:t>S</m:t>
            </m:r>
          </m:e>
          <m:sub>
            <m:r>
              <m:t>n</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与固有旋转轴及反演操作阶数混淆陷阱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对映转轴与其它对称元素的代数关系模糊</w:t>
      </w:r>
      <w:r>
        <w:rPr>
          <w:rFonts w:hint="eastAsia" w:ascii="Times New Roman" w:hAnsi="Times New Roman" w:eastAsia="Times New Roman" w:cs="Times New Roman"/>
        </w:rPr>
        <w:t>。</w:t>
      </w:r>
      <w:r>
        <w:rPr>
          <w:rFonts w:hint="eastAsia" w:ascii="Times New Roman" w:hAnsi="Times New Roman" w:eastAsia="FangSong" w:cs="Times New Roman"/>
        </w:rPr>
        <w:t>必须掌握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轴的操作必须重复循环</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次才能返回恒等元</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且必然同时催生出独立的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必定伴生</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循环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次即返回</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n</m:t>
            </m:r>
            <m:r>
              <m:rPr>
                <m:sty m:val="p"/>
              </m:rPr>
              <m:t>/</m:t>
            </m:r>
            <m:r>
              <m:t>2</m:t>
            </m:r>
          </m:sup>
        </m:sSubSup>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为奇数时成立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2</m:t>
            </m:r>
          </m:sub>
        </m:sSub>
        <m:r>
          <m:rPr>
            <m:sty m:val="p"/>
          </m:rPr>
          <m:t>≡</m:t>
        </m:r>
        <m:r>
          <m:t>i</m:t>
        </m:r>
      </m:oMath>
      <w:r>
        <w:rPr>
          <w:rFonts w:hint="eastAsia" w:ascii="Times New Roman" w:hAnsi="Times New Roman" w:eastAsia="Times New Roman" w:cs="Times New Roman"/>
        </w:rPr>
        <w:t xml:space="preserve">，</w:t>
      </w:r>
      <m:oMath>
        <m:sSubSup>
          <m:e>
            <m:r>
              <m:t>S</m:t>
            </m:r>
          </m:e>
          <m:sub>
            <m:r>
              <m:t>6</m:t>
            </m:r>
          </m:sub>
          <m:sup>
            <m:r>
              <m:t>3</m:t>
            </m:r>
          </m:sup>
        </m:sSubSup>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但四重映转轴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连续作用两次是</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二面体群</w:t>
      </w:r>
      <w:r>
        <w:rPr>
          <w:rFonts w:ascii="Times New Roman" w:hAnsi="Times New Roman" w:eastAsia="Times New Roman" w:cs="Times New Roman"/>
          <w:b/>
          <w:bCs/>
        </w:rPr>
        <w:t xml:space="preserve"> </w:t>
      </w:r>
      <m:oMath>
        <m:sSub>
          <m:e>
            <m:r>
              <m:t>D</m:t>
            </m:r>
          </m:e>
          <m:sub>
            <m:r>
              <m:t>n</m:t>
            </m:r>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D</m:t>
            </m:r>
          </m:e>
          <m:sub>
            <m:r>
              <m:t>n</m:t>
            </m:r>
            <m:r>
              <m:t>d</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的辅助镜面误判陷阱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在分析交错构象分子</w:t>
      </w:r>
      <w:r>
        <w:rPr>
          <w:rFonts w:hint="eastAsia" w:ascii="Times New Roman" w:hAnsi="Times New Roman" w:eastAsia="Times New Roman" w:cs="Times New Roman"/>
        </w:rPr>
        <w:t>（</w:t>
      </w:r>
      <w:r>
        <w:rPr>
          <w:rFonts w:hint="eastAsia" w:ascii="Times New Roman" w:hAnsi="Times New Roman" w:eastAsia="FangSong" w:cs="Times New Roman"/>
        </w:rPr>
        <w:t>如全丙二烯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或交错二茂铁</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常有选手误将对角镜面</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而定为</w:t>
      </w:r>
      <w:r>
        <w:rPr>
          <w:rFonts w:ascii="Times New Roman" w:hAnsi="Times New Roman" w:eastAsia="Times New Roman" w:cs="Times New Roman"/>
        </w:rPr>
        <w:t xml:space="preserve"> </w:t>
      </w:r>
      <m:oMath>
        <m:sSub>
          <m:e>
            <m:r>
              <m:t>D</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必须牢记二面体群标志性动作是找垂直主轴的二次轴</w:t>
      </w:r>
      <w:r>
        <w:rPr>
          <w:rFonts w:hint="eastAsia" w:ascii="Times New Roman" w:hAnsi="Times New Roman" w:eastAsia="Times New Roman" w:cs="Times New Roman"/>
        </w:rPr>
        <w:t>（</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存在垂直二次轴者必属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再看镜面</w:t>
      </w:r>
      <w:r>
        <w:rPr>
          <w:rFonts w:hint="eastAsia" w:ascii="Times New Roman" w:hAnsi="Times New Roman" w:eastAsia="Times New Roman" w:cs="Times New Roman"/>
        </w:rPr>
        <w:t>——</w:t>
      </w:r>
      <w:r>
        <w:rPr>
          <w:rFonts w:hint="eastAsia" w:ascii="Times New Roman" w:hAnsi="Times New Roman" w:eastAsia="FangSong" w:cs="Times New Roman"/>
        </w:rPr>
        <w:t>平分相邻两个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夹角的是</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包含垂直二次轴且垂直于主轴的是</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pStyle w:val="Compact"/>
        <w:numPr>
          <w:ilvl w:val="0"/>
          <w:numId w:val="1001"/>
        </w:numPr>
        <w:spacing w:after="80"/>
        <w:ind w:firstLine="420"/>
      </w:pPr>
      <w:r>
        <w:rPr>
          <w:rFonts w:hint="eastAsia" w:ascii="Times New Roman" w:hAnsi="Times New Roman" w:eastAsia="FangSong" w:cs="Times New Roman"/>
          <w:b/>
          <w:bCs/>
        </w:rPr>
        <w:t xml:space="preserve">互斥律适用范围无底线滥用陷阱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互斥律是结构化学极具杀伤力的判定工具</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hint="eastAsia" w:ascii="Times New Roman" w:hAnsi="Times New Roman" w:eastAsia="FangSong" w:cs="Times New Roman"/>
          <w:b/>
          <w:bCs/>
        </w:rPr>
        <w:t>唯一有效前提是分子必须具备反演对称中心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点群含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部分选手在面对不含对称中心的分子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三氯甲烷</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正四面体甲烷</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误认为红外有峰拉曼就一定无峰</w:t>
      </w:r>
      <w:r>
        <w:rPr>
          <w:rFonts w:hint="eastAsia" w:ascii="Times New Roman" w:hAnsi="Times New Roman" w:eastAsia="Times New Roman" w:cs="Times New Roman"/>
        </w:rPr>
        <w:t>，</w:t>
      </w:r>
      <w:r>
        <w:rPr>
          <w:rFonts w:hint="eastAsia" w:ascii="Times New Roman" w:hAnsi="Times New Roman" w:eastAsia="FangSong" w:cs="Times New Roman"/>
        </w:rPr>
        <w:t>直接导致大题丢光</w:t>
      </w:r>
      <w:r>
        <w:rPr>
          <w:rFonts w:hint="eastAsia" w:ascii="Times New Roman" w:hAnsi="Times New Roman" w:eastAsia="Times New Roman" w:cs="Times New Roman"/>
        </w:rPr>
        <w:t>。</w:t>
      </w:r>
      <w:r>
        <w:rPr>
          <w:rFonts w:hint="eastAsia" w:ascii="Times New Roman" w:hAnsi="Times New Roman" w:eastAsia="FangSong" w:cs="Times New Roman"/>
        </w:rPr>
        <w:t>对于无对称中心的分子</w:t>
      </w:r>
      <w:r>
        <w:rPr>
          <w:rFonts w:hint="eastAsia" w:ascii="Times New Roman" w:hAnsi="Times New Roman" w:eastAsia="Times New Roman" w:cs="Times New Roman"/>
        </w:rPr>
        <w:t>，</w:t>
      </w:r>
      <w:r>
        <w:rPr>
          <w:rFonts w:hint="eastAsia" w:ascii="Times New Roman" w:hAnsi="Times New Roman" w:eastAsia="FangSong" w:cs="Times New Roman"/>
        </w:rPr>
        <w:t>某些振动模式在红外与拉曼中完全允许同时活化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闭式硼烷骨架分子轨道能级图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富勒烯分子高对称能级分裂图</w:t>
            </w:r>
          </w:p>
        </w:tc>
      </w:tr>
      <w:tr>
        <w:tc>
          <w:tcPr/>
          <w:p>
            <w:pPr>
              <w:pStyle w:val="Compact"/>
              <w:jc w:val="center"/>
            </w:pPr>
            <w:r>
              <w:rPr>
                <w:rFonts w:ascii="Times New Roman" w:hAnsi="Times New Roman" w:eastAsia="Times New Roman" w:cs="Times New Roman"/>
              </w:rPr>
              <w:drawing>
                <wp:inline>
                  <wp:extent cx="2667000" cy="1381602"/>
                  <wp:effectExtent b="0" l="0" r="0" t="0"/>
                  <wp:docPr descr="" title="" id="86" name="Picture"/>
                  <a:graphic>
                    <a:graphicData uri="http://schemas.openxmlformats.org/drawingml/2006/picture">
                      <pic:pic>
                        <pic:nvPicPr>
                          <pic:cNvPr descr="9c6fd599918111e9b436820bf7f4abcf00b67c5e90534772060dfc23f49369aa.jpg" id="87" name="Picture"/>
                          <pic:cNvPicPr>
                            <a:picLocks noChangeArrowheads="1" noChangeAspect="1"/>
                          </pic:cNvPicPr>
                        </pic:nvPicPr>
                        <pic:blipFill>
                          <a:blip r:embed="rId85"/>
                          <a:stretch>
                            <a:fillRect/>
                          </a:stretch>
                        </pic:blipFill>
                        <pic:spPr bwMode="auto">
                          <a:xfrm>
                            <a:off x="0" y="0"/>
                            <a:ext cx="2667000" cy="13816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520000" cy="3630385"/>
                  <wp:effectExtent b="0" l="0" r="0" t="0"/>
                  <wp:docPr descr="" title="" id="89" name="Picture"/>
                  <a:graphic>
                    <a:graphicData uri="http://schemas.openxmlformats.org/drawingml/2006/picture">
                      <pic:pic>
                        <pic:nvPicPr>
                          <pic:cNvPr descr="b25dcedf7669adb71144008885a82f0620ccd505354d7e0826444125943c4f36.jpg" id="90" name="Picture"/>
                          <pic:cNvPicPr>
                            <a:picLocks noChangeArrowheads="1" noChangeAspect="1"/>
                          </pic:cNvPicPr>
                        </pic:nvPicPr>
                        <pic:blipFill>
                          <a:blip r:embed="rId88"/>
                          <a:stretch>
                            <a:fillRect/>
                          </a:stretch>
                        </pic:blipFill>
                        <pic:spPr bwMode="auto">
                          <a:xfrm>
                            <a:off x="0" y="0"/>
                            <a:ext cx="2520000" cy="36303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八面体硼烷骨架能级图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富勒烯分子轨道能级图</w:t>
            </w:r>
          </w:p>
        </w:tc>
      </w:tr>
    </w:tbl>
    <w:p>
      <w:pPr>
        <w:pStyle w:val="Compact"/>
        <w:numPr>
          <w:ilvl w:val="0"/>
          <w:numId w:val="1002"/>
        </w:numPr>
        <w:spacing w:before="120"/>
        <w:ind w:firstLine="420"/>
      </w:pPr>
      <w:r>
        <w:rPr>
          <w:rFonts w:hint="eastAsia" w:ascii="Times New Roman" w:hAnsi="Times New Roman" w:eastAsia="FangSong" w:cs="Times New Roman"/>
          <w:b/>
          <w:bCs/>
        </w:rPr>
        <w:t xml:space="preserve">分子振动自由度线性与非线性公式套错陷阱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在计算多原子分子基频振动数目时</w:t>
      </w:r>
      <w:r>
        <w:rPr>
          <w:rFonts w:hint="eastAsia" w:ascii="Times New Roman" w:hAnsi="Times New Roman" w:eastAsia="Times New Roman" w:cs="Times New Roman"/>
        </w:rPr>
        <w:t>，</w:t>
      </w:r>
      <w:r>
        <w:rPr>
          <w:rFonts w:hint="eastAsia" w:ascii="Times New Roman" w:hAnsi="Times New Roman" w:eastAsia="FangSong" w:cs="Times New Roman"/>
        </w:rPr>
        <w:t>遗忘线性分子转动自由度仅为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例如对于微观弯折的极性气体分子</w:t>
      </w:r>
      <w:r>
        <w:rPr>
          <w:rFonts w:hint="eastAsia" w:ascii="Times New Roman" w:hAnsi="Times New Roman" w:eastAsia="Times New Roman" w:cs="Times New Roman"/>
        </w:rPr>
        <w:t>（</w:t>
      </w:r>
      <w:r>
        <w:rPr>
          <w:rFonts w:hint="eastAsia" w:ascii="Times New Roman" w:hAnsi="Times New Roman" w:eastAsia="FangSong" w:cs="Times New Roman"/>
        </w:rPr>
        <w:t>如二氧化硫</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或臭氧</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误套用线性公式</w:t>
      </w:r>
      <w:r>
        <w:rPr>
          <w:rFonts w:ascii="Times New Roman" w:hAnsi="Times New Roman" w:eastAsia="Times New Roman" w:cs="Times New Roman"/>
        </w:rPr>
        <w:t xml:space="preserve"> </w:t>
      </w:r>
      <m:oMath>
        <m:oMathPr>
          <m:ctrlPr>
            <w:rPr>
              <w:sz w:val="28"/>
              <w:szCs w:val="28"/>
            </w:rPr>
          </m:ctrlPr>
        </m:oMathPr>
        <m:r>
          <m:t>3</m:t>
        </m:r>
        <m:r>
          <m:t>N</m:t>
        </m:r>
        <m:r>
          <m:rPr>
            <m:sty m:val="p"/>
          </m:rPr>
          <m:t>−</m:t>
        </m:r>
        <m:r>
          <m:t>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4 </w:t>
      </w:r>
      <w:r>
        <w:rPr>
          <w:rFonts w:hint="eastAsia" w:ascii="Times New Roman" w:hAnsi="Times New Roman" w:eastAsia="FangSong" w:cs="Times New Roman"/>
        </w:rPr>
        <w:t>个振动模式</w:t>
      </w:r>
      <w:r>
        <w:rPr>
          <w:rFonts w:hint="eastAsia" w:ascii="Times New Roman" w:hAnsi="Times New Roman" w:eastAsia="Times New Roman" w:cs="Times New Roman"/>
        </w:rPr>
        <w:t>（</w:t>
      </w:r>
      <w:r>
        <w:rPr>
          <w:rFonts w:hint="eastAsia" w:ascii="Times New Roman" w:hAnsi="Times New Roman" w:eastAsia="FangSong" w:cs="Times New Roman"/>
        </w:rPr>
        <w:t>真实情况是非线性分子</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m:t>
        </m:r>
        <m:r>
          <m:rPr>
            <m:sty m:val="p"/>
          </m:rPr>
          <m:t>×</m:t>
        </m:r>
        <m:r>
          <m:t>3</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个振动模式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分形高阶立方点群子群降阶混淆陷阱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在正八面体六配位配合物被不同配体取代时</w:t>
      </w:r>
      <w:r>
        <w:rPr>
          <w:rFonts w:hint="eastAsia" w:ascii="Times New Roman" w:hAnsi="Times New Roman" w:eastAsia="Times New Roman" w:cs="Times New Roman"/>
        </w:rPr>
        <w:t>，</w:t>
      </w:r>
      <w:r>
        <w:rPr>
          <w:rFonts w:hint="eastAsia" w:ascii="Times New Roman" w:hAnsi="Times New Roman" w:eastAsia="FangSong" w:cs="Times New Roman"/>
        </w:rPr>
        <w:t>误判产物点群</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三个相同配体占据同一个三角形面</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而经式异构体</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三个相同配体处于同一平面</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绝非随意主观乱猜</w:t>
      </w:r>
      <w:r>
        <w:rPr>
          <w:rFonts w:hint="eastAsia" w:ascii="Times New Roman" w:hAnsi="Times New Roman" w:eastAsia="Times New Roman" w:cs="Times New Roman"/>
        </w:rPr>
        <w:t>。</w:t>
      </w:r>
    </w:p>
    <w:p>
      <w:pPr>
        <w:pStyle w:val="Compact"/>
        <w:numPr>
          <w:ilvl w:val="0"/>
          <w:numId w:val="1002"/>
        </w:numPr>
        <w:ind w:firstLine="420"/>
      </w:pPr>
      <w:r>
        <w:rPr>
          <w:rFonts w:ascii="Times New Roman" w:hAnsi="Times New Roman" w:eastAsia="Times New Roman" w:cs="Times New Roman"/>
          <w:b/>
          <w:bCs/>
        </w:rPr>
        <w:t xml:space="preserve">SALC </w:t>
      </w:r>
      <w:r>
        <w:rPr>
          <w:rFonts w:hint="eastAsia" w:ascii="Times New Roman" w:hAnsi="Times New Roman" w:eastAsia="FangSong" w:cs="Times New Roman"/>
          <w:b/>
          <w:bCs/>
        </w:rPr>
        <w:t xml:space="preserve">投影算符正规归一化因子漏乘陷阱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利用投影算符公式</w:t>
      </w:r>
      <w:r>
        <w:rPr>
          <w:rFonts w:ascii="Times New Roman" w:hAnsi="Times New Roman" w:eastAsia="Times New Roman" w:cs="Times New Roman"/>
        </w:rPr>
        <w:t xml:space="preserve"> </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r>
          <m:rPr>
            <m:sty m:val="p"/>
          </m:rPr>
          <m:t>∑</m:t>
        </m:r>
        <m:r>
          <m:t>χ</m:t>
        </m:r>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构造波函数时</w:t>
      </w:r>
      <w:r>
        <w:rPr>
          <w:rFonts w:hint="eastAsia" w:ascii="Times New Roman" w:hAnsi="Times New Roman" w:eastAsia="Times New Roman" w:cs="Times New Roman"/>
        </w:rPr>
        <w:t>，</w:t>
      </w:r>
      <w:r>
        <w:rPr>
          <w:rFonts w:hint="eastAsia" w:ascii="Times New Roman" w:hAnsi="Times New Roman" w:eastAsia="FangSong" w:cs="Times New Roman"/>
        </w:rPr>
        <w:t>直接将轨道线性叠加后的未经归一化多项式当作最终波函数</w:t>
      </w:r>
      <w:r>
        <w:rPr>
          <w:rFonts w:hint="eastAsia" w:ascii="Times New Roman" w:hAnsi="Times New Roman" w:eastAsia="Times New Roman" w:cs="Times New Roman"/>
        </w:rPr>
        <w:t>，</w:t>
      </w:r>
      <w:r>
        <w:rPr>
          <w:rFonts w:hint="eastAsia" w:ascii="Times New Roman" w:hAnsi="Times New Roman" w:eastAsia="FangSong" w:cs="Times New Roman"/>
        </w:rPr>
        <w:t>导致重叠积分与</w:t>
      </w:r>
      <w:r>
        <w:rPr>
          <w:rFonts w:ascii="Times New Roman" w:hAnsi="Times New Roman" w:eastAsia="Times New Roman" w:cs="Times New Roman"/>
        </w:rPr>
        <w:t xml:space="preserve"> Hamiltonian </w:t>
      </w:r>
      <w:r>
        <w:rPr>
          <w:rFonts w:hint="eastAsia" w:ascii="Times New Roman" w:hAnsi="Times New Roman" w:eastAsia="FangSong" w:cs="Times New Roman"/>
        </w:rPr>
        <w:t>矩阵元计算成倍失真</w:t>
      </w:r>
      <w:r>
        <w:rPr>
          <w:rFonts w:hint="eastAsia" w:ascii="Times New Roman" w:hAnsi="Times New Roman" w:eastAsia="Times New Roman" w:cs="Times New Roman"/>
        </w:rPr>
        <w:t>。</w:t>
      </w:r>
      <w:r>
        <w:rPr>
          <w:rFonts w:hint="eastAsia" w:ascii="Times New Roman" w:hAnsi="Times New Roman" w:eastAsia="FangSong" w:cs="Times New Roman"/>
        </w:rPr>
        <w:t>必须在求和完成后</w:t>
      </w:r>
      <w:r>
        <w:rPr>
          <w:rFonts w:hint="eastAsia" w:ascii="Times New Roman" w:hAnsi="Times New Roman" w:eastAsia="Times New Roman" w:cs="Times New Roman"/>
        </w:rPr>
        <w:t>，</w:t>
      </w:r>
      <w:r>
        <w:rPr>
          <w:rFonts w:hint="eastAsia" w:ascii="Times New Roman" w:hAnsi="Times New Roman" w:eastAsia="FangSong" w:cs="Times New Roman"/>
        </w:rPr>
        <w:t>重新计算系数平方和进行几何归一化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ascii="Times New Roman" w:hAnsi="Times New Roman" w:eastAsia="Times New Roman" w:cs="Times New Roman"/>
        </w:rPr>
        <w:t xml:space="preserve"> </w:t>
      </w:r>
      <m:oMath>
        <m:rad>
          <m:radPr>
            <m:degHide m:val="on"/>
          </m:radPr>
          <m:deg/>
          <m:e>
            <m:r>
              <m:rPr>
                <m:sty m:val="p"/>
              </m:rPr>
              <m:t>∑</m:t>
            </m:r>
            <m:sSubSup>
              <m:e>
                <m:r>
                  <m:t>c</m:t>
                </m:r>
              </m:e>
              <m:sub>
                <m:r>
                  <m:t>i</m:t>
                </m:r>
              </m:sub>
              <m:sup>
                <m:r>
                  <m:t>2</m:t>
                </m:r>
              </m:sup>
            </m:sSubSup>
          </m:e>
        </m:rad>
      </m:oMath>
      <w:r>
        <w:rPr>
          <w:rFonts w:hint="eastAsia" w:ascii="Times New Roman" w:hAnsi="Times New Roman" w:eastAsia="Times New Roman" w:cs="Times New Roman"/>
        </w:rPr>
        <w:t xml:space="preserve">）。</w:t>
      </w:r>
    </w:p>
    <w:p>
      <w:pPr>
        <w:pStyle w:val="Compact"/>
        <w:numPr>
          <w:ilvl w:val="0"/>
          <w:numId w:val="1002"/>
        </w:numPr>
        <w:spacing w:after="80"/>
        <w:ind w:firstLine="420"/>
      </w:pPr>
      <w:r>
        <w:rPr>
          <w:rFonts w:hint="eastAsia" w:ascii="Times New Roman" w:hAnsi="Times New Roman" w:eastAsia="FangSong" w:cs="Times New Roman"/>
          <w:b/>
          <w:bCs/>
        </w:rPr>
        <w:t xml:space="preserve">极性分子与键极性机械对等陷阱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在判断分子是否具有宏观偶极矩时</w:t>
      </w:r>
      <w:r>
        <w:rPr>
          <w:rFonts w:hint="eastAsia" w:ascii="Times New Roman" w:hAnsi="Times New Roman" w:eastAsia="Times New Roman" w:cs="Times New Roman"/>
        </w:rPr>
        <w:t>，</w:t>
      </w:r>
      <w:r>
        <w:rPr>
          <w:rFonts w:hint="eastAsia" w:ascii="Times New Roman" w:hAnsi="Times New Roman" w:eastAsia="FangSong" w:cs="Times New Roman"/>
        </w:rPr>
        <w:t>仅凭分子内含有强极性键就贸然判定为极性分子</w:t>
      </w:r>
      <w:r>
        <w:rPr>
          <w:rFonts w:hint="eastAsia" w:ascii="Times New Roman" w:hAnsi="Times New Roman" w:eastAsia="Times New Roman" w:cs="Times New Roman"/>
        </w:rPr>
        <w:t>。</w:t>
      </w:r>
      <w:r>
        <w:rPr>
          <w:rFonts w:hint="eastAsia" w:ascii="Times New Roman" w:hAnsi="Times New Roman" w:eastAsia="FangSong" w:cs="Times New Roman"/>
        </w:rPr>
        <w:t>必须谨记点群判据铁律</w:t>
      </w:r>
      <w:r>
        <w:rPr>
          <w:rFonts w:hint="eastAsia" w:ascii="Times New Roman" w:hAnsi="Times New Roman" w:eastAsia="Times New Roman" w:cs="Times New Roman"/>
        </w:rPr>
        <w:t>：</w:t>
      </w:r>
      <w:r>
        <w:rPr>
          <w:rFonts w:hint="eastAsia" w:ascii="Times New Roman" w:hAnsi="Times New Roman" w:eastAsia="FangSong" w:cs="Times New Roman"/>
        </w:rPr>
        <w:t>凡属于</w:t>
      </w:r>
      <w:r>
        <w:rPr>
          <w:rFonts w:ascii="Times New Roman" w:hAnsi="Times New Roman" w:eastAsia="Times New Roman" w:cs="Times New Roman"/>
        </w:rPr>
        <w:t xml:space="preserve"> </w:t>
      </w:r>
      <m:oMath>
        <m:oMathPr>
          <m:ctrlPr>
            <w:rPr>
              <w:sz w:val="28"/>
              <w:szCs w:val="28"/>
            </w:rPr>
          </m:ctrlPr>
        </m:oMathPr>
        <m:sSub>
          <m:e>
            <m:r>
              <m:t>D</m:t>
            </m:r>
          </m:e>
          <m:sub>
            <m:r>
              <m:t>n</m:t>
            </m:r>
            <m:r>
              <m:t>h</m:t>
            </m:r>
          </m:sub>
        </m:sSub>
        <m:r>
          <m:rPr>
            <m:sty m:val="p"/>
          </m:rPr>
          <m:t>,</m:t>
        </m:r>
        <m:sSub>
          <m:e>
            <m:r>
              <m:t>D</m:t>
            </m:r>
          </m:e>
          <m:sub>
            <m:r>
              <m:t>n</m:t>
            </m:r>
            <m:r>
              <m:t>d</m:t>
            </m:r>
          </m:sub>
        </m:sSub>
        <m:r>
          <m:rPr>
            <m:sty m:val="p"/>
          </m:rPr>
          <m:t>,</m:t>
        </m:r>
        <m:sSub>
          <m:e>
            <m:r>
              <m:t>D</m:t>
            </m:r>
          </m:e>
          <m:sub>
            <m:r>
              <m:t>n</m:t>
            </m:r>
          </m:sub>
        </m:sSub>
        <m:r>
          <m:rPr>
            <m:sty m:val="p"/>
          </m:rPr>
          <m:t>,</m:t>
        </m: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等任何二面体群和立方群的分子</w:t>
      </w:r>
      <w:r>
        <w:rPr>
          <w:rFonts w:hint="eastAsia" w:ascii="Times New Roman" w:hAnsi="Times New Roman" w:eastAsia="Times New Roman" w:cs="Times New Roman"/>
        </w:rPr>
        <w:t>，</w:t>
      </w:r>
      <w:r>
        <w:rPr>
          <w:rFonts w:hint="eastAsia" w:ascii="Times New Roman" w:hAnsi="Times New Roman" w:eastAsia="FangSong" w:cs="Times New Roman"/>
        </w:rPr>
        <w:t>无论内部单键极性多大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C</m:t>
        </m:r>
        <m:r>
          <m:rPr>
            <m:sty m:val="p"/>
          </m:rPr>
          <m:t>C</m:t>
        </m:r>
        <m:sSub>
          <m:e>
            <m:r>
              <m:rPr>
                <m:sty m:val="p"/>
              </m:rPr>
              <m:t>l</m:t>
            </m:r>
          </m:e>
          <m:sub>
            <m:r>
              <m:rPr>
                <m:sty m:val="p"/>
              </m:rPr>
              <m:t>4</m:t>
            </m:r>
          </m:sub>
        </m:sSub>
        <m:r>
          <m:rPr>
            <m:sty m:val="p"/>
          </m:rPr>
          <m:t>,</m:t>
        </m:r>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其全部分子键偶极矢量在三维空间积分后绝对完全相消</w:t>
      </w:r>
      <w:r>
        <w:rPr>
          <w:rFonts w:hint="eastAsia" w:ascii="Times New Roman" w:hAnsi="Times New Roman" w:eastAsia="Times New Roman" w:cs="Times New Roman"/>
        </w:rPr>
        <w:t>，</w:t>
      </w:r>
      <w:r>
        <w:rPr>
          <w:rFonts w:hint="eastAsia" w:ascii="Times New Roman" w:hAnsi="Times New Roman" w:eastAsia="FangSong" w:cs="Times New Roman"/>
        </w:rPr>
        <w:t>偶极矩严格恒等于零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晶体空间对称元素与点群分类系统拓扑图</w:t>
            </w:r>
          </w:p>
        </w:tc>
      </w:tr>
      <w:tr>
        <w:tc>
          <w:tcPr/>
          <w:p>
            <w:pPr>
              <w:pStyle w:val="Compact"/>
              <w:jc w:val="center"/>
            </w:pPr>
            <w:r>
              <w:rPr>
                <w:rFonts w:ascii="Times New Roman" w:hAnsi="Times New Roman" w:eastAsia="Times New Roman" w:cs="Times New Roman"/>
              </w:rPr>
              <w:drawing>
                <wp:inline>
                  <wp:extent cx="2667000" cy="3132015"/>
                  <wp:effectExtent b="0" l="0" r="0" t="0"/>
                  <wp:docPr descr="" title="" id="92" name="Picture"/>
                  <a:graphic>
                    <a:graphicData uri="http://schemas.openxmlformats.org/drawingml/2006/picture">
                      <pic:pic>
                        <pic:nvPicPr>
                          <pic:cNvPr descr="a96b169bff0a9a8b9d9ca662653914eb12dfee45247cb94e0b3a1693626808f5.jpg" id="93" name="Picture"/>
                          <pic:cNvPicPr>
                            <a:picLocks noChangeArrowheads="1" noChangeAspect="1"/>
                          </pic:cNvPicPr>
                        </pic:nvPicPr>
                        <pic:blipFill>
                          <a:blip r:embed="rId91"/>
                          <a:stretch>
                            <a:fillRect/>
                          </a:stretch>
                        </pic:blipFill>
                        <pic:spPr bwMode="auto">
                          <a:xfrm>
                            <a:off x="0" y="0"/>
                            <a:ext cx="2667000" cy="31320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4-25：</w:t>
            </w:r>
            <w:r>
              <w:rPr>
                <w:rFonts w:hint="eastAsia" w:ascii="Times New Roman" w:hAnsi="Times New Roman" w:eastAsia="FangSong" w:cs="Times New Roman"/>
              </w:rPr>
              <w:t>空间对称元素与点群拓扑图</w:t>
            </w:r>
          </w:p>
        </w:tc>
      </w:tr>
    </w:tbl>
    <w:bookmarkEnd w:id="94"/>
    <w:bookmarkStart w:id="95" w:name="竞赛思考强化题与微观机理精解"/>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利用标准点群拓扑决策树判定下列由正四面体衍生出的取代甲烷系列分子的所属点群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p>
      <w:pPr>
        <w:pStyle w:val="BodyText"/>
      </w:pPr>
    </w:p>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20" Type="http://schemas.openxmlformats.org/officeDocument/2006/relationships/image" Target="media/rId20.jpg"/><Relationship Id="rId59" Type="http://schemas.openxmlformats.org/officeDocument/2006/relationships/image" Target="media/rId59.jpg"/><Relationship Id="rId62" Type="http://schemas.openxmlformats.org/officeDocument/2006/relationships/image" Target="media/rId62.jpg"/><Relationship Id="rId34" Type="http://schemas.openxmlformats.org/officeDocument/2006/relationships/image" Target="media/rId34.jpg"/><Relationship Id="rId41" Type="http://schemas.openxmlformats.org/officeDocument/2006/relationships/image" Target="media/rId41.jpg"/><Relationship Id="rId69" Type="http://schemas.openxmlformats.org/officeDocument/2006/relationships/image" Target="media/rId69.jpg"/><Relationship Id="rId31" Type="http://schemas.openxmlformats.org/officeDocument/2006/relationships/image" Target="media/rId31.jpg"/><Relationship Id="rId79" Type="http://schemas.openxmlformats.org/officeDocument/2006/relationships/image" Target="media/rId79.jpg"/><Relationship Id="rId13" Type="http://schemas.openxmlformats.org/officeDocument/2006/relationships/image" Target="media/rId13.jpg"/><Relationship Id="rId55" Type="http://schemas.openxmlformats.org/officeDocument/2006/relationships/image" Target="media/rId55.jpg"/><Relationship Id="rId27" Type="http://schemas.openxmlformats.org/officeDocument/2006/relationships/image" Target="media/rId27.jpg"/><Relationship Id="rId45" Type="http://schemas.openxmlformats.org/officeDocument/2006/relationships/image" Target="media/rId45.jpg"/><Relationship Id="rId82" Type="http://schemas.openxmlformats.org/officeDocument/2006/relationships/image" Target="media/rId82.jpg"/><Relationship Id="rId85" Type="http://schemas.openxmlformats.org/officeDocument/2006/relationships/image" Target="media/rId85.jpg"/><Relationship Id="rId66" Type="http://schemas.openxmlformats.org/officeDocument/2006/relationships/image" Target="media/rId66.jpg"/><Relationship Id="rId91" Type="http://schemas.openxmlformats.org/officeDocument/2006/relationships/image" Target="media/rId91.jpg"/><Relationship Id="rId88" Type="http://schemas.openxmlformats.org/officeDocument/2006/relationships/image" Target="media/rId88.jpg"/><Relationship Id="rId75" Type="http://schemas.openxmlformats.org/officeDocument/2006/relationships/image" Target="media/rId75.jpg"/><Relationship Id="rId17" Type="http://schemas.openxmlformats.org/officeDocument/2006/relationships/image" Target="media/rId17.jpg"/><Relationship Id="rId38" Type="http://schemas.openxmlformats.org/officeDocument/2006/relationships/image" Target="media/rId38.jpg"/><Relationship Id="rId10" Type="http://schemas.openxmlformats.org/officeDocument/2006/relationships/image" Target="media/rId10.jpg"/><Relationship Id="rId24" Type="http://schemas.openxmlformats.org/officeDocument/2006/relationships/image" Target="media/rId24.jpg"/><Relationship Id="rId48" Type="http://schemas.openxmlformats.org/officeDocument/2006/relationships/image" Target="media/rId48.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2026-09-29T03:14:50Z</dcterms:created>
  <dcterms:modified xsi:type="dcterms:W3CDTF">2026-09-29T03:14:50Z</dcterms:modified>
</cp:coreProperties>
</file>

<file path=docProps/custom.xml><?xml version="1.0" encoding="utf-8"?>
<Properties xmlns="http://schemas.openxmlformats.org/officeDocument/2006/custom-properties" xmlns:vt="http://schemas.openxmlformats.org/officeDocument/2006/docPropsVTypes"/>
</file>