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点阵与晶胞</w:t>
            </w:r>
          </w:p>
        </w:tc>
        <w:tc>
          <w:tcPr/>
          <w:p>
            <w:pPr>
              <w:pStyle w:val="Compact"/>
              <w:jc w:val="center"/>
            </w:pPr>
            <w:r>
              <w:rPr>
                <w:rFonts w:hint="eastAsia" w:ascii="Times New Roman" w:hAnsi="Times New Roman" w:eastAsia="FangSong" w:cs="Times New Roman"/>
              </w:rPr>
              <w:t>说明点阵三要素与晶胞选取规范</w:t>
            </w:r>
            <w:r>
              <w:rPr>
                <w:rFonts w:hint="eastAsia" w:ascii="Times New Roman" w:hAnsi="Times New Roman" w:eastAsia="Times New Roman" w:cs="Times New Roman"/>
              </w:rPr>
              <w:t>，</w:t>
            </w:r>
            <w:r>
              <w:rPr>
                <w:rFonts w:hint="eastAsia" w:ascii="Times New Roman" w:hAnsi="Times New Roman" w:eastAsia="FangSong" w:cs="Times New Roman"/>
              </w:rPr>
              <w:t>证明晶体对称性限定律</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对称元素与空间群</w:t>
            </w:r>
          </w:p>
        </w:tc>
        <w:tc>
          <w:tcPr/>
          <w:p>
            <w:pPr>
              <w:pStyle w:val="Compact"/>
              <w:jc w:val="center"/>
            </w:pPr>
            <w:r>
              <w:rPr>
                <w:rFonts w:hint="eastAsia" w:ascii="Times New Roman" w:hAnsi="Times New Roman" w:eastAsia="FangSong" w:cs="Times New Roman"/>
              </w:rPr>
              <w:t>识别微观螺旋轴与滑移面</w:t>
            </w:r>
            <w:r>
              <w:rPr>
                <w:rFonts w:hint="eastAsia" w:ascii="Times New Roman" w:hAnsi="Times New Roman" w:eastAsia="Times New Roman" w:cs="Times New Roman"/>
              </w:rPr>
              <w:t>，</w:t>
            </w:r>
            <w:r>
              <w:rPr>
                <w:rFonts w:hint="eastAsia" w:ascii="Times New Roman" w:hAnsi="Times New Roman" w:eastAsia="FangSong" w:cs="Times New Roman"/>
              </w:rPr>
              <w:t>读懂空间群符号与消光规律</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晶面指标与衍射</w:t>
            </w:r>
          </w:p>
        </w:tc>
        <w:tc>
          <w:tcPr/>
          <w:p>
            <w:pPr>
              <w:pStyle w:val="Compact"/>
              <w:jc w:val="center"/>
            </w:pPr>
            <w:r>
              <w:rPr>
                <w:rFonts w:hint="eastAsia" w:ascii="Times New Roman" w:hAnsi="Times New Roman" w:eastAsia="FangSong" w:cs="Times New Roman"/>
              </w:rPr>
              <w:t>标定密勒指数</w:t>
            </w:r>
            <w:r>
              <w:rPr>
                <w:rFonts w:hint="eastAsia" w:ascii="Times New Roman" w:hAnsi="Times New Roman" w:eastAsia="Times New Roman" w:cs="Times New Roman"/>
              </w:rPr>
              <w:t>，</w:t>
            </w:r>
            <w:r>
              <w:rPr>
                <w:rFonts w:hint="eastAsia" w:ascii="Times New Roman" w:hAnsi="Times New Roman" w:eastAsia="FangSong" w:cs="Times New Roman"/>
              </w:rPr>
              <w:t>用布拉格方程解析粉末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衍射峰</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堆积模型与空隙</w:t>
            </w:r>
          </w:p>
        </w:tc>
        <w:tc>
          <w:tcPr/>
          <w:p>
            <w:pPr>
              <w:pStyle w:val="Compact"/>
              <w:jc w:val="center"/>
            </w:pPr>
            <w:r>
              <w:rPr>
                <w:rFonts w:hint="eastAsia" w:ascii="Times New Roman" w:hAnsi="Times New Roman" w:eastAsia="FangSong" w:cs="Times New Roman"/>
              </w:rPr>
              <w:t>推导四大金属堆积的空间利用率与配位数</w:t>
            </w:r>
            <w:r>
              <w:rPr>
                <w:rFonts w:hint="eastAsia" w:ascii="Times New Roman" w:hAnsi="Times New Roman" w:eastAsia="Times New Roman" w:cs="Times New Roman"/>
              </w:rPr>
              <w:t>，</w:t>
            </w:r>
            <w:r>
              <w:rPr>
                <w:rFonts w:hint="eastAsia" w:ascii="Times New Roman" w:hAnsi="Times New Roman" w:eastAsia="FangSong" w:cs="Times New Roman"/>
              </w:rPr>
              <w:t>用临界半径比判空隙占据</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典型离子晶型</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NaCl/CsCl/ZnS/CaF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等结构基元</w:t>
            </w:r>
            <w:r>
              <w:rPr>
                <w:rFonts w:hint="eastAsia" w:ascii="Times New Roman" w:hAnsi="Times New Roman" w:eastAsia="Times New Roman" w:cs="Times New Roman"/>
              </w:rPr>
              <w:t>，</w:t>
            </w:r>
            <w:r>
              <w:rPr>
                <w:rFonts w:hint="eastAsia" w:ascii="Times New Roman" w:hAnsi="Times New Roman" w:eastAsia="FangSong" w:cs="Times New Roman"/>
              </w:rPr>
              <w:t>用鲍林规则解析多面体连接</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定量计算与缺陷</w:t>
            </w:r>
          </w:p>
        </w:tc>
        <w:tc>
          <w:tcPr/>
          <w:p>
            <w:pPr>
              <w:pStyle w:val="Compact"/>
              <w:jc w:val="center"/>
            </w:pPr>
            <w:r>
              <w:rPr>
                <w:rFonts w:hint="eastAsia" w:ascii="Times New Roman" w:hAnsi="Times New Roman" w:eastAsia="FangSong" w:cs="Times New Roman"/>
              </w:rPr>
              <w:t>由晶胞参数计算晶体密度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循环求晶格能</w:t>
            </w:r>
            <w:r>
              <w:rPr>
                <w:rFonts w:hint="eastAsia" w:ascii="Times New Roman" w:hAnsi="Times New Roman" w:eastAsia="Times New Roman" w:cs="Times New Roman"/>
              </w:rPr>
              <w:t>，</w:t>
            </w:r>
            <w:r>
              <w:rPr>
                <w:rFonts w:hint="eastAsia" w:ascii="Times New Roman" w:hAnsi="Times New Roman" w:eastAsia="FangSong" w:cs="Times New Roman"/>
              </w:rPr>
              <w:t>分析点缺陷</w:t>
            </w:r>
          </w:p>
        </w:tc>
      </w:tr>
    </w:tbl>
    <w:p>
      <w:pPr>
        <w:pStyle w:val="BodyText"/>
        <w:spacing w:before="120"/>
        <w:ind w:firstLine="420"/>
      </w:pPr>
      <w:r>
        <w:rPr>
          <w:rFonts w:hint="eastAsia" w:ascii="Times New Roman" w:hAnsi="Times New Roman" w:eastAsia="FangSong" w:cs="Times New Roman"/>
        </w:rPr>
        <w:t>本讲系统构建以微观空间点阵理论</w:t>
      </w:r>
      <w:r>
        <w:rPr>
          <w:rFonts w:hint="eastAsia" w:ascii="Times New Roman" w:hAnsi="Times New Roman" w:eastAsia="Times New Roman" w:cs="Times New Roman"/>
        </w:rPr>
        <w:t>、</w:t>
      </w:r>
      <w:r>
        <w:rPr>
          <w:rFonts w:hint="eastAsia" w:ascii="Times New Roman" w:hAnsi="Times New Roman" w:eastAsia="FangSong" w:cs="Times New Roman"/>
        </w:rPr>
        <w:t>晶体几何对称性</w:t>
      </w:r>
      <w:r>
        <w:rPr>
          <w:rFonts w:hint="eastAsia" w:ascii="Times New Roman" w:hAnsi="Times New Roman" w:eastAsia="Times New Roman" w:cs="Times New Roman"/>
        </w:rPr>
        <w:t>、</w:t>
      </w:r>
      <w:r>
        <w:rPr>
          <w:rFonts w:hint="eastAsia" w:ascii="Times New Roman" w:hAnsi="Times New Roman" w:eastAsia="FangSong" w:cs="Times New Roman"/>
        </w:rPr>
        <w:t>金属密堆积模型及离子晶体配位化学为核心的晶体学理论体系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应能深入理解点阵</w:t>
      </w:r>
      <w:r>
        <w:rPr>
          <w:rFonts w:hint="eastAsia" w:ascii="Times New Roman" w:hAnsi="Times New Roman" w:eastAsia="Times New Roman" w:cs="Times New Roman"/>
        </w:rPr>
        <w:t>、</w:t>
      </w:r>
      <w:r>
        <w:rPr>
          <w:rFonts w:hint="eastAsia" w:ascii="Times New Roman" w:hAnsi="Times New Roman" w:eastAsia="FangSong" w:cs="Times New Roman"/>
        </w:rPr>
        <w:t>结构基元与晶胞的三要素卷积映射本质</w:t>
      </w:r>
      <w:r>
        <w:rPr>
          <w:rFonts w:hint="eastAsia" w:ascii="Times New Roman" w:hAnsi="Times New Roman" w:eastAsia="Times New Roman" w:cs="Times New Roman"/>
        </w:rPr>
        <w:t>，</w:t>
      </w:r>
      <w:r>
        <w:rPr>
          <w:rFonts w:hint="eastAsia" w:ascii="Times New Roman" w:hAnsi="Times New Roman" w:eastAsia="FangSong" w:cs="Times New Roman"/>
        </w:rPr>
        <w:t>熟练掌握空间平移与旋转相容性方程严格证明晶体对称性限定律</w:t>
      </w:r>
      <w:r>
        <w:rPr>
          <w:rFonts w:hint="eastAsia" w:ascii="Times New Roman" w:hAnsi="Times New Roman" w:eastAsia="Times New Roman" w:cs="Times New Roman"/>
        </w:rPr>
        <w:t>，</w:t>
      </w:r>
      <w:r>
        <w:rPr>
          <w:rFonts w:hint="eastAsia" w:ascii="Times New Roman" w:hAnsi="Times New Roman" w:eastAsia="FangSong" w:cs="Times New Roman"/>
        </w:rPr>
        <w:t>透彻掌握七大晶系特征对称性判据与十四种布拉菲点阵分类</w:t>
      </w:r>
      <w:r>
        <w:rPr>
          <w:rFonts w:hint="eastAsia" w:ascii="Times New Roman" w:hAnsi="Times New Roman" w:eastAsia="Times New Roman" w:cs="Times New Roman"/>
        </w:rPr>
        <w:t>，</w:t>
      </w:r>
      <w:r>
        <w:rPr>
          <w:rFonts w:hint="eastAsia" w:ascii="Times New Roman" w:hAnsi="Times New Roman" w:eastAsia="FangSong" w:cs="Times New Roman"/>
        </w:rPr>
        <w:t>理解螺旋轴</w:t>
      </w:r>
      <w:r>
        <w:rPr>
          <w:rFonts w:hint="eastAsia" w:ascii="Times New Roman" w:hAnsi="Times New Roman" w:eastAsia="Times New Roman" w:cs="Times New Roman"/>
        </w:rPr>
        <w:t>、</w:t>
      </w:r>
      <w:r>
        <w:rPr>
          <w:rFonts w:hint="eastAsia" w:ascii="Times New Roman" w:hAnsi="Times New Roman" w:eastAsia="FangSong" w:cs="Times New Roman"/>
        </w:rPr>
        <w:t>滑移面与空间群国际符号读法</w:t>
      </w:r>
      <w:r>
        <w:rPr>
          <w:rFonts w:hint="eastAsia" w:ascii="Times New Roman" w:hAnsi="Times New Roman" w:eastAsia="Times New Roman" w:cs="Times New Roman"/>
        </w:rPr>
        <w:t>，</w:t>
      </w:r>
      <w:r>
        <w:rPr>
          <w:rFonts w:hint="eastAsia" w:ascii="Times New Roman" w:hAnsi="Times New Roman" w:eastAsia="FangSong" w:cs="Times New Roman"/>
        </w:rPr>
        <w:t>熟练运用均摊法则精确计算简单六方与直角晶胞原子净数</w:t>
      </w:r>
      <w:r>
        <w:rPr>
          <w:rFonts w:hint="eastAsia" w:ascii="Times New Roman" w:hAnsi="Times New Roman" w:eastAsia="Times New Roman" w:cs="Times New Roman"/>
        </w:rPr>
        <w:t>，</w:t>
      </w:r>
      <w:r>
        <w:rPr>
          <w:rFonts w:hint="eastAsia" w:ascii="Times New Roman" w:hAnsi="Times New Roman" w:eastAsia="FangSong" w:cs="Times New Roman"/>
        </w:rPr>
        <w:t>掌握密勒指数确定方法</w:t>
      </w:r>
      <w:r>
        <w:rPr>
          <w:rFonts w:hint="eastAsia" w:ascii="Times New Roman" w:hAnsi="Times New Roman" w:eastAsia="Times New Roman" w:cs="Times New Roman"/>
        </w:rPr>
        <w:t>、</w:t>
      </w:r>
      <w:r>
        <w:rPr>
          <w:rFonts w:hint="eastAsia" w:ascii="Times New Roman" w:hAnsi="Times New Roman" w:eastAsia="FangSong" w:cs="Times New Roman"/>
        </w:rPr>
        <w:t>晶面间距倒易关系式与粉末</w:t>
      </w:r>
      <w:r>
        <w:rPr>
          <w:rFonts w:ascii="Times New Roman" w:hAnsi="Times New Roman" w:eastAsia="Times New Roman" w:cs="Times New Roman"/>
        </w:rPr>
        <w:t xml:space="preserve"> XRD </w:t>
      </w:r>
      <w:r>
        <w:rPr>
          <w:rFonts w:hint="eastAsia" w:ascii="Times New Roman" w:hAnsi="Times New Roman" w:eastAsia="FangSong" w:cs="Times New Roman"/>
        </w:rPr>
        <w:t>系统消光判据</w:t>
      </w:r>
      <w:r>
        <w:rPr>
          <w:rFonts w:hint="eastAsia" w:ascii="Times New Roman" w:hAnsi="Times New Roman" w:eastAsia="Times New Roman" w:cs="Times New Roman"/>
        </w:rPr>
        <w:t>，</w:t>
      </w:r>
      <w:r>
        <w:rPr>
          <w:rFonts w:hint="eastAsia" w:ascii="Times New Roman" w:hAnsi="Times New Roman" w:eastAsia="FangSong" w:cs="Times New Roman"/>
        </w:rPr>
        <w:t>熟练推导面心立方</w:t>
      </w:r>
      <w:r>
        <w:rPr>
          <w:rFonts w:hint="eastAsia" w:ascii="Times New Roman" w:hAnsi="Times New Roman" w:eastAsia="Times New Roman" w:cs="Times New Roman"/>
        </w:rPr>
        <w:t>（74.05%）、</w:t>
      </w:r>
      <w:r>
        <w:rPr>
          <w:rFonts w:hint="eastAsia" w:ascii="Times New Roman" w:hAnsi="Times New Roman" w:eastAsia="FangSong" w:cs="Times New Roman"/>
        </w:rPr>
        <w:t>六方最密</w:t>
      </w:r>
      <w:r>
        <w:rPr>
          <w:rFonts w:hint="eastAsia" w:ascii="Times New Roman" w:hAnsi="Times New Roman" w:eastAsia="Times New Roman" w:cs="Times New Roman"/>
        </w:rPr>
        <w:t>（</w:t>
      </w:r>
      <w:r>
        <w:rPr>
          <w:rFonts w:hint="eastAsia" w:ascii="Times New Roman" w:hAnsi="Times New Roman" w:eastAsia="FangSong" w:cs="Times New Roman"/>
        </w:rPr>
        <w:t>理想轴比</w:t>
      </w:r>
      <w:r>
        <w:rPr>
          <w:rFonts w:ascii="Times New Roman" w:hAnsi="Times New Roman" w:eastAsia="Times New Roman" w:cs="Times New Roman"/>
        </w:rPr>
        <w:t xml:space="preserve"> </w:t>
      </w:r>
      <w:r>
        <w:rPr>
          <w:rFonts w:hint="eastAsia" w:ascii="Times New Roman" w:hAnsi="Times New Roman" w:eastAsia="Times New Roman" w:cs="Times New Roman"/>
        </w:rPr>
        <w:t>1.633，74.05%）、</w:t>
      </w:r>
      <w:r>
        <w:rPr>
          <w:rFonts w:hint="eastAsia" w:ascii="Times New Roman" w:hAnsi="Times New Roman" w:eastAsia="FangSong" w:cs="Times New Roman"/>
        </w:rPr>
        <w:t>体心立方</w:t>
      </w:r>
      <w:r>
        <w:rPr>
          <w:rFonts w:hint="eastAsia" w:ascii="Times New Roman" w:hAnsi="Times New Roman" w:eastAsia="Times New Roman" w:cs="Times New Roman"/>
        </w:rPr>
        <w:t>（68.02%）</w:t>
      </w:r>
      <w:r>
        <w:rPr>
          <w:rFonts w:hint="eastAsia" w:ascii="Times New Roman" w:hAnsi="Times New Roman" w:eastAsia="FangSong" w:cs="Times New Roman"/>
        </w:rPr>
        <w:t>及金刚石结构</w:t>
      </w:r>
      <w:r>
        <w:rPr>
          <w:rFonts w:hint="eastAsia" w:ascii="Times New Roman" w:hAnsi="Times New Roman" w:eastAsia="Times New Roman" w:cs="Times New Roman"/>
        </w:rPr>
        <w:t>（34.01%）</w:t>
      </w:r>
      <w:r>
        <w:rPr>
          <w:rFonts w:hint="eastAsia" w:ascii="Times New Roman" w:hAnsi="Times New Roman" w:eastAsia="FangSong" w:cs="Times New Roman"/>
        </w:rPr>
        <w:t>的空间利用率</w:t>
      </w:r>
      <w:r>
        <w:rPr>
          <w:rFonts w:hint="eastAsia" w:ascii="Times New Roman" w:hAnsi="Times New Roman" w:eastAsia="Times New Roman" w:cs="Times New Roman"/>
        </w:rPr>
        <w:t>，</w:t>
      </w:r>
      <w:r>
        <w:rPr>
          <w:rFonts w:hint="eastAsia" w:ascii="Times New Roman" w:hAnsi="Times New Roman" w:eastAsia="FangSong" w:cs="Times New Roman"/>
        </w:rPr>
        <w:t>精通四面体与八面体空隙数目守恒及临界半径比严格几何推导</w:t>
      </w:r>
      <w:r>
        <w:rPr>
          <w:rFonts w:hint="eastAsia" w:ascii="Times New Roman" w:hAnsi="Times New Roman" w:eastAsia="Times New Roman" w:cs="Times New Roman"/>
        </w:rPr>
        <w:t>，</w:t>
      </w:r>
      <w:r>
        <w:rPr>
          <w:rFonts w:hint="eastAsia" w:ascii="Times New Roman" w:hAnsi="Times New Roman" w:eastAsia="FangSong" w:cs="Times New Roman"/>
        </w:rPr>
        <w:t>深入掌握岩盐型</w:t>
      </w:r>
      <w:r>
        <w:rPr>
          <w:rFonts w:hint="eastAsia" w:ascii="Times New Roman" w:hAnsi="Times New Roman" w:eastAsia="Times New Roman" w:cs="Times New Roman"/>
        </w:rPr>
        <w:t>、</w:t>
      </w:r>
      <w:r>
        <w:rPr>
          <w:rFonts w:hint="eastAsia" w:ascii="Times New Roman" w:hAnsi="Times New Roman" w:eastAsia="FangSong" w:cs="Times New Roman"/>
        </w:rPr>
        <w:t>氯化铯型</w:t>
      </w:r>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hint="eastAsia" w:ascii="Times New Roman" w:hAnsi="Times New Roman" w:eastAsia="Times New Roman" w:cs="Times New Roman"/>
        </w:rPr>
        <w:t>、</w:t>
      </w:r>
      <w:r>
        <w:rPr>
          <w:rFonts w:hint="eastAsia" w:ascii="Times New Roman" w:hAnsi="Times New Roman" w:eastAsia="FangSong" w:cs="Times New Roman"/>
        </w:rPr>
        <w:t>纤锌矿型</w:t>
      </w:r>
      <w:r>
        <w:rPr>
          <w:rFonts w:hint="eastAsia" w:ascii="Times New Roman" w:hAnsi="Times New Roman" w:eastAsia="Times New Roman" w:cs="Times New Roman"/>
        </w:rPr>
        <w:t>、</w:t>
      </w:r>
      <w:r>
        <w:rPr>
          <w:rFonts w:hint="eastAsia" w:ascii="Times New Roman" w:hAnsi="Times New Roman" w:eastAsia="FangSong" w:cs="Times New Roman"/>
        </w:rPr>
        <w:t>萤石型</w:t>
      </w:r>
      <w:r>
        <w:rPr>
          <w:rFonts w:hint="eastAsia" w:ascii="Times New Roman" w:hAnsi="Times New Roman" w:eastAsia="Times New Roman" w:cs="Times New Roman"/>
        </w:rPr>
        <w:t>、</w:t>
      </w:r>
      <w:r>
        <w:rPr>
          <w:rFonts w:hint="eastAsia" w:ascii="Times New Roman" w:hAnsi="Times New Roman" w:eastAsia="FangSong" w:cs="Times New Roman"/>
        </w:rPr>
        <w:t>金红石型及钙钛矿型结构的微观几何与连接方式</w:t>
      </w:r>
      <w:r>
        <w:rPr>
          <w:rFonts w:hint="eastAsia" w:ascii="Times New Roman" w:hAnsi="Times New Roman" w:eastAsia="Times New Roman" w:cs="Times New Roman"/>
        </w:rPr>
        <w:t>，</w:t>
      </w:r>
      <w:r>
        <w:rPr>
          <w:rFonts w:hint="eastAsia" w:ascii="Times New Roman" w:hAnsi="Times New Roman" w:eastAsia="FangSong" w:cs="Times New Roman"/>
        </w:rPr>
        <w:t>精通利用摩尔质量</w:t>
      </w:r>
      <w:r>
        <w:rPr>
          <w:rFonts w:hint="eastAsia" w:ascii="Times New Roman" w:hAnsi="Times New Roman" w:eastAsia="Times New Roman" w:cs="Times New Roman"/>
        </w:rPr>
        <w:t>、</w:t>
      </w:r>
      <w:r>
        <w:rPr>
          <w:rFonts w:hint="eastAsia" w:ascii="Times New Roman" w:hAnsi="Times New Roman" w:eastAsia="FangSong" w:cs="Times New Roman"/>
        </w:rPr>
        <w:t>阿伏伽德罗常数及</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转换因子进行晶体理论密度反演</w:t>
      </w:r>
      <w:r>
        <w:rPr>
          <w:rFonts w:hint="eastAsia" w:ascii="Times New Roman" w:hAnsi="Times New Roman" w:eastAsia="Times New Roman" w:cs="Times New Roman"/>
        </w:rPr>
        <w:t>，</w:t>
      </w:r>
      <w:r>
        <w:rPr>
          <w:rFonts w:hint="eastAsia" w:ascii="Times New Roman" w:hAnsi="Times New Roman" w:eastAsia="FangSong" w:cs="Times New Roman"/>
        </w:rPr>
        <w:t>熟练应用鲍林第二规则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与玻恩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哈伯循环计算晶格能</w:t>
      </w:r>
      <w:r>
        <w:rPr>
          <w:rFonts w:hint="eastAsia" w:ascii="Times New Roman" w:hAnsi="Times New Roman" w:eastAsia="Times New Roman" w:cs="Times New Roman"/>
        </w:rPr>
        <w:t>，</w:t>
      </w:r>
      <w:r>
        <w:rPr>
          <w:rFonts w:hint="eastAsia" w:ascii="Times New Roman" w:hAnsi="Times New Roman" w:eastAsia="FangSong" w:cs="Times New Roman"/>
        </w:rPr>
        <w:t>并能透彻解析肖特基缺陷</w:t>
      </w:r>
      <w:r>
        <w:rPr>
          <w:rFonts w:hint="eastAsia" w:ascii="Times New Roman" w:hAnsi="Times New Roman" w:eastAsia="Times New Roman" w:cs="Times New Roman"/>
        </w:rPr>
        <w:t>、</w:t>
      </w:r>
      <w:r>
        <w:rPr>
          <w:rFonts w:hint="eastAsia" w:ascii="Times New Roman" w:hAnsi="Times New Roman" w:eastAsia="FangSong" w:cs="Times New Roman"/>
        </w:rPr>
        <w:t>弗兰克尔缺陷对晶体测量密度的影响及非整比化合物的组成定量计算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931275"/>
                  <wp:effectExtent b="0" l="0" r="0" t="0"/>
                  <wp:docPr descr="" title="" id="11" name="Picture"/>
                  <a:graphic>
                    <a:graphicData uri="http://schemas.openxmlformats.org/drawingml/2006/picture">
                      <pic:pic>
                        <pic:nvPicPr>
                          <pic:cNvPr descr="c660d304807a309a098d5003bc9ce93cd29a1bd8471af4df6172db1f0d8fe691.png" id="12" name="Picture"/>
                          <pic:cNvPicPr>
                            <a:picLocks noChangeArrowheads="1" noChangeAspect="1"/>
                          </pic:cNvPicPr>
                        </pic:nvPicPr>
                        <pic:blipFill>
                          <a:blip r:embed="rId10"/>
                          <a:stretch>
                            <a:fillRect/>
                          </a:stretch>
                        </pic:blipFill>
                        <pic:spPr bwMode="auto">
                          <a:xfrm>
                            <a:off x="0" y="0"/>
                            <a:ext cx="2667000" cy="19312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44096"/>
                  <wp:effectExtent b="0" l="0" r="0" t="0"/>
                  <wp:docPr descr="" title="" id="14" name="Picture"/>
                  <a:graphic>
                    <a:graphicData uri="http://schemas.openxmlformats.org/drawingml/2006/picture">
                      <pic:pic>
                        <pic:nvPicPr>
                          <pic:cNvPr descr="5012a9d054c7cacd77bdf189b3adae98bfe6f6bd43fcdd0cb0a16b64fa434a54.jpg" id="15" name="Picture"/>
                          <pic:cNvPicPr>
                            <a:picLocks noChangeArrowheads="1" noChangeAspect="1"/>
                          </pic:cNvPicPr>
                        </pic:nvPicPr>
                        <pic:blipFill>
                          <a:blip r:embed="rId13"/>
                          <a:stretch>
                            <a:fillRect/>
                          </a:stretch>
                        </pic:blipFill>
                        <pic:spPr bwMode="auto">
                          <a:xfrm>
                            <a:off x="0" y="0"/>
                            <a:ext cx="2667000" cy="25440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6"/>
    <w:bookmarkStart w:id="26"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91619"/>
                  <wp:effectExtent b="0" l="0" r="0" t="0"/>
                  <wp:docPr descr="" title="" id="18" name="Picture"/>
                  <a:graphic>
                    <a:graphicData uri="http://schemas.openxmlformats.org/drawingml/2006/picture">
                      <pic:pic>
                        <pic:nvPicPr>
                          <pic:cNvPr descr="83e40c1f0ddada89bbd67f581ee16670deb06ec628f1d461b145d879151166e7.png" id="19" name="Picture"/>
                          <pic:cNvPicPr>
                            <a:picLocks noChangeArrowheads="1" noChangeAspect="1"/>
                          </pic:cNvPicPr>
                        </pic:nvPicPr>
                        <pic:blipFill>
                          <a:blip r:embed="rId17"/>
                          <a:stretch>
                            <a:fillRect/>
                          </a:stretch>
                        </pic:blipFill>
                        <pic:spPr bwMode="auto">
                          <a:xfrm>
                            <a:off x="0" y="0"/>
                            <a:ext cx="2667000" cy="159161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11831"/>
                  <wp:effectExtent b="0" l="0" r="0" t="0"/>
                  <wp:docPr descr="" title="" id="21" name="Picture"/>
                  <a:graphic>
                    <a:graphicData uri="http://schemas.openxmlformats.org/drawingml/2006/picture">
                      <pic:pic>
                        <pic:nvPicPr>
                          <pic:cNvPr descr="76751db1511d4104bb795965a85f61709af906277d6c0a4144fcc41d18ef1211.png" id="22" name="Picture"/>
                          <pic:cNvPicPr>
                            <a:picLocks noChangeArrowheads="1" noChangeAspect="1"/>
                          </pic:cNvPicPr>
                        </pic:nvPicPr>
                        <pic:blipFill>
                          <a:blip r:embed="rId20"/>
                          <a:stretch>
                            <a:fillRect/>
                          </a:stretch>
                        </pic:blipFill>
                        <pic:spPr bwMode="auto">
                          <a:xfrm>
                            <a:off x="0" y="0"/>
                            <a:ext cx="2667000" cy="26118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最常见致命误区是误以为其特征元素是四重轴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事实上正方晶系与八面体立方体系的主要分水岭正在于是否存在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053166"/>
                  <wp:effectExtent b="0" l="0" r="0" t="0"/>
                  <wp:docPr descr="" title="" id="24" name="Picture"/>
                  <a:graphic>
                    <a:graphicData uri="http://schemas.openxmlformats.org/drawingml/2006/picture">
                      <pic:pic>
                        <pic:nvPicPr>
                          <pic:cNvPr descr="d61ce403cec4c29171d60c35f62b83956aa78ef25f3b9909f03f05ad180afb75.png" id="25" name="Picture"/>
                          <pic:cNvPicPr>
                            <a:picLocks noChangeArrowheads="1" noChangeAspect="1"/>
                          </pic:cNvPicPr>
                        </pic:nvPicPr>
                        <pic:blipFill>
                          <a:blip r:embed="rId23"/>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6"/>
    <w:bookmarkStart w:id="30"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036113"/>
                  <wp:effectExtent b="0" l="0" r="0" t="0"/>
                  <wp:docPr descr="" title="" id="28" name="Picture"/>
                  <a:graphic>
                    <a:graphicData uri="http://schemas.openxmlformats.org/drawingml/2006/picture">
                      <pic:pic>
                        <pic:nvPicPr>
                          <pic:cNvPr descr="0f08895894c416009f1b1b03c144930c7c7ca971fcb727a6853320214da74294.png" id="29" name="Picture"/>
                          <pic:cNvPicPr>
                            <a:picLocks noChangeArrowheads="1" noChangeAspect="1"/>
                          </pic:cNvPicPr>
                        </pic:nvPicPr>
                        <pic:blipFill>
                          <a:blip r:embed="rId27"/>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30"/>
    <w:bookmarkStart w:id="43"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2" name="Picture"/>
                  <a:graphic>
                    <a:graphicData uri="http://schemas.openxmlformats.org/drawingml/2006/picture">
                      <pic:pic>
                        <pic:nvPicPr>
                          <pic:cNvPr descr="6cbf9602df245ef5cc4c3696de9be93fc77bc9882153bda01034b55f108bf98a.png" id="33" name="Picture"/>
                          <pic:cNvPicPr>
                            <a:picLocks noChangeArrowheads="1" noChangeAspect="1"/>
                          </pic:cNvPicPr>
                        </pic:nvPicPr>
                        <pic:blipFill>
                          <a:blip r:embed="rId31"/>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5" name="Picture"/>
                  <a:graphic>
                    <a:graphicData uri="http://schemas.openxmlformats.org/drawingml/2006/picture">
                      <pic:pic>
                        <pic:nvPicPr>
                          <pic:cNvPr descr="c9594cd9505a5c955555febb8dc90541257bab9479ea7f5061fc792cd7c6ee45.png" id="36" name="Picture"/>
                          <pic:cNvPicPr>
                            <a:picLocks noChangeArrowheads="1" noChangeAspect="1"/>
                          </pic:cNvPicPr>
                        </pic:nvPicPr>
                        <pic:blipFill>
                          <a:blip r:embed="rId34"/>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223349"/>
                  <wp:effectExtent b="0" l="0" r="0" t="0"/>
                  <wp:docPr descr="" title="" id="38" name="Picture"/>
                  <a:graphic>
                    <a:graphicData uri="http://schemas.openxmlformats.org/drawingml/2006/picture">
                      <pic:pic>
                        <pic:nvPicPr>
                          <pic:cNvPr descr="432b2dfd3bcdeb8589bf10b7491a07d98b1204c67cfc1879b109bb7f63141675.png" id="39" name="Picture"/>
                          <pic:cNvPicPr>
                            <a:picLocks noChangeArrowheads="1" noChangeAspect="1"/>
                          </pic:cNvPicPr>
                        </pic:nvPicPr>
                        <pic:blipFill>
                          <a:blip r:embed="rId37"/>
                          <a:stretch>
                            <a:fillRect/>
                          </a:stretch>
                        </pic:blipFill>
                        <pic:spPr bwMode="auto">
                          <a:xfrm>
                            <a:off x="0" y="0"/>
                            <a:ext cx="2667000" cy="322334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978192"/>
                  <wp:effectExtent b="0" l="0" r="0" t="0"/>
                  <wp:docPr descr="" title="" id="41" name="Picture"/>
                  <a:graphic>
                    <a:graphicData uri="http://schemas.openxmlformats.org/drawingml/2006/picture">
                      <pic:pic>
                        <pic:nvPicPr>
                          <pic:cNvPr descr="617b76947a688cb469287921c48df705d0f1682c1d118f4e567f886a04d0fa8f.png" id="42" name="Picture"/>
                          <pic:cNvPicPr>
                            <a:picLocks noChangeArrowheads="1" noChangeAspect="1"/>
                          </pic:cNvPicPr>
                        </pic:nvPicPr>
                        <pic:blipFill>
                          <a:blip r:embed="rId40"/>
                          <a:stretch>
                            <a:fillRect/>
                          </a:stretch>
                        </pic:blipFill>
                        <pic:spPr bwMode="auto">
                          <a:xfrm>
                            <a:off x="0" y="0"/>
                            <a:ext cx="2667000" cy="29781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3"/>
    <w:bookmarkStart w:id="62"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914059"/>
                  <wp:effectExtent b="0" l="0" r="0" t="0"/>
                  <wp:docPr descr="" title="" id="45" name="Picture"/>
                  <a:graphic>
                    <a:graphicData uri="http://schemas.openxmlformats.org/drawingml/2006/picture">
                      <pic:pic>
                        <pic:nvPicPr>
                          <pic:cNvPr descr="5895babe1e4323d0720a5e3454cabee35f81911a4ec212c5e8428e1cb4fc372c.png" id="46" name="Picture"/>
                          <pic:cNvPicPr>
                            <a:picLocks noChangeArrowheads="1" noChangeAspect="1"/>
                          </pic:cNvPicPr>
                        </pic:nvPicPr>
                        <pic:blipFill>
                          <a:blip r:embed="rId44"/>
                          <a:stretch>
                            <a:fillRect/>
                          </a:stretch>
                        </pic:blipFill>
                        <pic:spPr bwMode="auto">
                          <a:xfrm>
                            <a:off x="0" y="0"/>
                            <a:ext cx="2667000" cy="914059"/>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91596"/>
                  <wp:effectExtent b="0" l="0" r="0" t="0"/>
                  <wp:docPr descr="" title="" id="48" name="Picture"/>
                  <a:graphic>
                    <a:graphicData uri="http://schemas.openxmlformats.org/drawingml/2006/picture">
                      <pic:pic>
                        <pic:nvPicPr>
                          <pic:cNvPr descr="8cb594e7cd926ced4aee688df607034f72c4b7d26b05ece12ccca69b7c7e4865.png" id="49" name="Picture"/>
                          <pic:cNvPicPr>
                            <a:picLocks noChangeArrowheads="1" noChangeAspect="1"/>
                          </pic:cNvPicPr>
                        </pic:nvPicPr>
                        <pic:blipFill>
                          <a:blip r:embed="rId47"/>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78652"/>
                  <wp:effectExtent b="0" l="0" r="0" t="0"/>
                  <wp:docPr descr="" title="" id="51" name="Picture"/>
                  <a:graphic>
                    <a:graphicData uri="http://schemas.openxmlformats.org/drawingml/2006/picture">
                      <pic:pic>
                        <pic:nvPicPr>
                          <pic:cNvPr descr="6301e6569b4ca6d2352979cad869d6b9a07c326fb3b9a20bf37a0ae7a6b9937b.png" id="52" name="Picture"/>
                          <pic:cNvPicPr>
                            <a:picLocks noChangeArrowheads="1" noChangeAspect="1"/>
                          </pic:cNvPicPr>
                        </pic:nvPicPr>
                        <pic:blipFill>
                          <a:blip r:embed="rId50"/>
                          <a:stretch>
                            <a:fillRect/>
                          </a:stretch>
                        </pic:blipFill>
                        <pic:spPr bwMode="auto">
                          <a:xfrm>
                            <a:off x="0" y="0"/>
                            <a:ext cx="2667000" cy="1678652"/>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370067"/>
                  <wp:effectExtent b="0" l="0" r="0" t="0"/>
                  <wp:docPr descr="" title="" id="54" name="Picture"/>
                  <a:graphic>
                    <a:graphicData uri="http://schemas.openxmlformats.org/drawingml/2006/picture">
                      <pic:pic>
                        <pic:nvPicPr>
                          <pic:cNvPr descr="d5b5f78c3a235ab1298a43c1c94e74578cf75838c8e183e24759e6f6f7692ff9.png" id="55" name="Picture"/>
                          <pic:cNvPicPr>
                            <a:picLocks noChangeArrowheads="1" noChangeAspect="1"/>
                          </pic:cNvPicPr>
                        </pic:nvPicPr>
                        <pic:blipFill>
                          <a:blip r:embed="rId5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83775"/>
                  <wp:effectExtent b="0" l="0" r="0" t="0"/>
                  <wp:docPr descr="" title="" id="57" name="Picture"/>
                  <a:graphic>
                    <a:graphicData uri="http://schemas.openxmlformats.org/drawingml/2006/picture">
                      <pic:pic>
                        <pic:nvPicPr>
                          <pic:cNvPr descr="c83576b4056bdf9a4e7fcf2619d313f915f8d38ccd214ba3f81ab03c44e8fac6.png" id="58" name="Picture"/>
                          <pic:cNvPicPr>
                            <a:picLocks noChangeArrowheads="1" noChangeAspect="1"/>
                          </pic:cNvPicPr>
                        </pic:nvPicPr>
                        <pic:blipFill>
                          <a:blip r:embed="rId56"/>
                          <a:stretch>
                            <a:fillRect/>
                          </a:stretch>
                        </pic:blipFill>
                        <pic:spPr bwMode="auto">
                          <a:xfrm>
                            <a:off x="0" y="0"/>
                            <a:ext cx="2667000" cy="158377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84173"/>
                  <wp:effectExtent b="0" l="0" r="0" t="0"/>
                  <wp:docPr descr="" title="" id="60" name="Picture"/>
                  <a:graphic>
                    <a:graphicData uri="http://schemas.openxmlformats.org/drawingml/2006/picture">
                      <pic:pic>
                        <pic:nvPicPr>
                          <pic:cNvPr descr="fdc55a0a12b8dcad03bddb0aa47f9888219d91b75faa987ca088eb396eb0d370.jpg" id="61" name="Picture"/>
                          <pic:cNvPicPr>
                            <a:picLocks noChangeArrowheads="1" noChangeAspect="1"/>
                          </pic:cNvPicPr>
                        </pic:nvPicPr>
                        <pic:blipFill>
                          <a:blip r:embed="rId59"/>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是现代科学测定晶体三维微观结构的决定性金标准</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布拉格父子将极其复杂的三维晶体电子对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计算出的晶胞参数与面间距必定产生高达两倍的系统性毁灭性误差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2"/>
    <w:bookmarkStart w:id="66"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293215"/>
                  <wp:effectExtent b="0" l="0" r="0" t="0"/>
                  <wp:docPr descr="" title="" id="64" name="Picture"/>
                  <a:graphic>
                    <a:graphicData uri="http://schemas.openxmlformats.org/drawingml/2006/picture">
                      <pic:pic>
                        <pic:nvPicPr>
                          <pic:cNvPr descr="1e6b70f1da04cd3ee02078fea11d1176e4e838f40317e7bb65c6d784e62dad92.jpg" id="65" name="Picture"/>
                          <pic:cNvPicPr>
                            <a:picLocks noChangeArrowheads="1" noChangeAspect="1"/>
                          </pic:cNvPicPr>
                        </pic:nvPicPr>
                        <pic:blipFill>
                          <a:blip r:embed="rId63"/>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第四种极为重要的堆积模型是金刚石型共价堆积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金刚石骨架呈现极其空旷的微观三维网状多孔形态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6"/>
    <w:bookmarkStart w:id="76"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305153"/>
                  <wp:effectExtent b="0" l="0" r="0" t="0"/>
                  <wp:docPr descr="" title="" id="68" name="Picture"/>
                  <a:graphic>
                    <a:graphicData uri="http://schemas.openxmlformats.org/drawingml/2006/picture">
                      <pic:pic>
                        <pic:nvPicPr>
                          <pic:cNvPr descr="1cf53f30e30d122f4d3acfb62a7e6adddfd6327d673bfd2d7a6949b42d820ed2.png" id="69" name="Picture"/>
                          <pic:cNvPicPr>
                            <a:picLocks noChangeArrowheads="1" noChangeAspect="1"/>
                          </pic:cNvPicPr>
                        </pic:nvPicPr>
                        <pic:blipFill>
                          <a:blip r:embed="rId67"/>
                          <a:stretch>
                            <a:fillRect/>
                          </a:stretch>
                        </pic:blipFill>
                        <pic:spPr bwMode="auto">
                          <a:xfrm>
                            <a:off x="0" y="0"/>
                            <a:ext cx="2667000" cy="3305153"/>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260412"/>
                  <wp:effectExtent b="0" l="0" r="0" t="0"/>
                  <wp:docPr descr="" title="" id="71" name="Picture"/>
                  <a:graphic>
                    <a:graphicData uri="http://schemas.openxmlformats.org/drawingml/2006/picture">
                      <pic:pic>
                        <pic:nvPicPr>
                          <pic:cNvPr descr="070b0574de180390f234ba1390546faedd9965b262f182d60ed0d850ab24486e.jpg" id="72" name="Picture"/>
                          <pic:cNvPicPr>
                            <a:picLocks noChangeArrowheads="1" noChangeAspect="1"/>
                          </pic:cNvPicPr>
                        </pic:nvPicPr>
                        <pic:blipFill>
                          <a:blip r:embed="rId70"/>
                          <a:stretch>
                            <a:fillRect/>
                          </a:stretch>
                        </pic:blipFill>
                        <pic:spPr bwMode="auto">
                          <a:xfrm>
                            <a:off x="0" y="0"/>
                            <a:ext cx="2667000" cy="12604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762817"/>
                  <wp:effectExtent b="0" l="0" r="0" t="0"/>
                  <wp:docPr descr="" title="" id="74" name="Picture"/>
                  <a:graphic>
                    <a:graphicData uri="http://schemas.openxmlformats.org/drawingml/2006/picture">
                      <pic:pic>
                        <pic:nvPicPr>
                          <pic:cNvPr descr="c3a7ab424d0af002bf9212cdd2645300399e75d98feed26eca445941f0ebe77b.png" id="75" name="Picture"/>
                          <pic:cNvPicPr>
                            <a:picLocks noChangeArrowheads="1" noChangeAspect="1"/>
                          </pic:cNvPicPr>
                        </pic:nvPicPr>
                        <pic:blipFill>
                          <a:blip r:embed="rId73"/>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6"/>
    <w:bookmarkStart w:id="89"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663195"/>
                  <wp:effectExtent b="0" l="0" r="0" t="0"/>
                  <wp:docPr descr="" title="" id="78" name="Picture"/>
                  <a:graphic>
                    <a:graphicData uri="http://schemas.openxmlformats.org/drawingml/2006/picture">
                      <pic:pic>
                        <pic:nvPicPr>
                          <pic:cNvPr descr="436ca04bab0699e948fc15400670258df2f0f7f12afcdde5e41c42ca785877ce.png" id="79" name="Picture"/>
                          <pic:cNvPicPr>
                            <a:picLocks noChangeArrowheads="1" noChangeAspect="1"/>
                          </pic:cNvPicPr>
                        </pic:nvPicPr>
                        <pic:blipFill>
                          <a:blip r:embed="rId77"/>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3020245"/>
                  <wp:effectExtent b="0" l="0" r="0" t="0"/>
                  <wp:docPr descr="" title="" id="81" name="Picture"/>
                  <a:graphic>
                    <a:graphicData uri="http://schemas.openxmlformats.org/drawingml/2006/picture">
                      <pic:pic>
                        <pic:nvPicPr>
                          <pic:cNvPr descr="e87a6a311d6a8d0265b9ba1b6a279b3459e5a3e6c939aec5e6335b3eb8d89ce5.png" id="82" name="Picture"/>
                          <pic:cNvPicPr>
                            <a:picLocks noChangeArrowheads="1" noChangeAspect="1"/>
                          </pic:cNvPicPr>
                        </pic:nvPicPr>
                        <pic:blipFill>
                          <a:blip r:embed="rId80"/>
                          <a:stretch>
                            <a:fillRect/>
                          </a:stretch>
                        </pic:blipFill>
                        <pic:spPr bwMode="auto">
                          <a:xfrm>
                            <a:off x="0" y="0"/>
                            <a:ext cx="2667000" cy="3020245"/>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667000"/>
                  <wp:effectExtent b="0" l="0" r="0" t="0"/>
                  <wp:docPr descr="" title="" id="84" name="Picture"/>
                  <a:graphic>
                    <a:graphicData uri="http://schemas.openxmlformats.org/drawingml/2006/picture">
                      <pic:pic>
                        <pic:nvPicPr>
                          <pic:cNvPr descr="842f11610982edb9864434386961e51e51b5018aa78aa559c2fdd3220392d6b8.png" id="85" name="Picture"/>
                          <pic:cNvPicPr>
                            <a:picLocks noChangeArrowheads="1" noChangeAspect="1"/>
                          </pic:cNvPicPr>
                        </pic:nvPicPr>
                        <pic:blipFill>
                          <a:blip r:embed="rId83"/>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2564558"/>
                  <wp:effectExtent b="0" l="0" r="0" t="0"/>
                  <wp:docPr descr="" title="" id="87" name="Picture"/>
                  <a:graphic>
                    <a:graphicData uri="http://schemas.openxmlformats.org/drawingml/2006/picture">
                      <pic:pic>
                        <pic:nvPicPr>
                          <pic:cNvPr descr="5ffdf0f9ea2339f07dd11ff7e178215fa2b546e24a2d6efed0ff0c691c9e7ca4.jpg" id="88" name="Picture"/>
                          <pic:cNvPicPr>
                            <a:picLocks noChangeArrowheads="1" noChangeAspect="1"/>
                          </pic:cNvPicPr>
                        </pic:nvPicPr>
                        <pic:blipFill>
                          <a:blip r:embed="rId86"/>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9"/>
    <w:bookmarkStart w:id="90"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本质上不同的结构基元和配位多面体种类必须极度精炼节约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绝大多数离子晶体的马德隆常数与其晶胞内离子总数之比呈现惊人的普适近似性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90"/>
    <w:bookmarkStart w:id="94"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667000" cy="1554820"/>
                  <wp:effectExtent b="0" l="0" r="0" t="0"/>
                  <wp:docPr descr="" title="" id="92" name="Picture"/>
                  <a:graphic>
                    <a:graphicData uri="http://schemas.openxmlformats.org/drawingml/2006/picture">
                      <pic:pic>
                        <pic:nvPicPr>
                          <pic:cNvPr descr="175fbda89ff064959be5982fb0d49b3e319f2c0b815325300fbfa14cd6f6f2c2.png" id="93" name="Picture"/>
                          <pic:cNvPicPr>
                            <a:picLocks noChangeArrowheads="1" noChangeAspect="1"/>
                          </pic:cNvPicPr>
                        </pic:nvPicPr>
                        <pic:blipFill>
                          <a:blip r:embed="rId91"/>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4"/>
    <w:bookmarkStart w:id="95" w:name="化竞核心命题陷阱与-8-大高频失分误区清单"/>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化竞核心命题陷阱与</w:t>
      </w:r>
      <w:r>
        <w:rPr>
          <w:rFonts w:ascii="Times New Roman" w:hAnsi="Times New Roman" w:eastAsia="Times New Roman" w:cs="Times New Roman"/>
        </w:rPr>
        <w:t xml:space="preserve"> 8 </w:t>
      </w:r>
      <w:r>
        <w:rPr>
          <w:rFonts w:hint="eastAsia" w:ascii="Times New Roman" w:hAnsi="Times New Roman" w:eastAsia="SimHei" w:cs="Times New Roman"/>
        </w:rPr>
        <w:t xml:space="preserve">大高频失分误区清单</w:t>
      </w:r>
    </w:p>
    <w:p>
      <w:pPr>
        <w:pStyle w:val="FirstParagraph"/>
        <w:spacing w:after="80"/>
        <w:ind w:firstLine="420"/>
      </w:pPr>
      <w:r>
        <w:rPr>
          <w:rFonts w:hint="eastAsia" w:ascii="Times New Roman" w:hAnsi="Times New Roman" w:eastAsia="FangSong" w:cs="Times New Roman"/>
        </w:rPr>
        <w:t>在历届全国化学奥林匹克竞赛初赛与决赛中</w:t>
      </w:r>
      <w:r>
        <w:rPr>
          <w:rFonts w:hint="eastAsia" w:ascii="Times New Roman" w:hAnsi="Times New Roman" w:eastAsia="Times New Roman" w:cs="Times New Roman"/>
        </w:rPr>
        <w:t>，</w:t>
      </w:r>
      <w:r>
        <w:rPr>
          <w:rFonts w:hint="eastAsia" w:ascii="Times New Roman" w:hAnsi="Times New Roman" w:eastAsia="FangSong" w:cs="Times New Roman"/>
        </w:rPr>
        <w:t>晶体结构与点阵计算板块历来是考生因概念模糊</w:t>
      </w:r>
      <w:r>
        <w:rPr>
          <w:rFonts w:hint="eastAsia" w:ascii="Times New Roman" w:hAnsi="Times New Roman" w:eastAsia="Times New Roman" w:cs="Times New Roman"/>
        </w:rPr>
        <w:t>、</w:t>
      </w:r>
      <w:r>
        <w:rPr>
          <w:rFonts w:hint="eastAsia" w:ascii="Times New Roman" w:hAnsi="Times New Roman" w:eastAsia="FangSong" w:cs="Times New Roman"/>
        </w:rPr>
        <w:t>立体几何直觉匮乏或机械套用公式而失分最为惨烈的</w:t>
      </w:r>
      <w:r>
        <w:rPr>
          <w:rFonts w:hint="eastAsia" w:ascii="Times New Roman" w:hAnsi="Times New Roman" w:eastAsia="Times New Roman" w:cs="Times New Roman"/>
        </w:rPr>
        <w:t>“</w:t>
      </w:r>
      <w:r>
        <w:rPr>
          <w:rFonts w:hint="eastAsia" w:ascii="Times New Roman" w:hAnsi="Times New Roman" w:eastAsia="FangSong" w:cs="Times New Roman"/>
        </w:rPr>
        <w:t>重灾区</w:t>
      </w:r>
      <w:r>
        <w:rPr>
          <w:rFonts w:hint="eastAsia" w:ascii="Times New Roman" w:hAnsi="Times New Roman" w:eastAsia="Times New Roman" w:cs="Times New Roman"/>
        </w:rPr>
        <w:t>”。</w:t>
      </w:r>
      <w:r>
        <w:rPr>
          <w:rFonts w:hint="eastAsia" w:ascii="Times New Roman" w:hAnsi="Times New Roman" w:eastAsia="FangSong" w:cs="Times New Roman"/>
        </w:rPr>
        <w:t>本节系统性提炼出晶体学板块赛场最高频失分的</w:t>
      </w:r>
      <w:r>
        <w:rPr>
          <w:rFonts w:ascii="Times New Roman" w:hAnsi="Times New Roman" w:eastAsia="Times New Roman" w:cs="Times New Roman"/>
        </w:rPr>
        <w:t xml:space="preserve"> 8 </w:t>
      </w:r>
      <w:r>
        <w:rPr>
          <w:rFonts w:hint="eastAsia" w:ascii="Times New Roman" w:hAnsi="Times New Roman" w:eastAsia="FangSong" w:cs="Times New Roman"/>
        </w:rPr>
        <w:t>大高频失分误区清单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赛场高频失分陷阱名称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典型失分表现与误区根源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科学纠偏与避坑绝招</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b/>
                <w:bCs/>
              </w:rPr>
              <w:t xml:space="preserve">误把化学基元当点阵点</w:t>
            </w:r>
          </w:p>
        </w:tc>
        <w:tc>
          <w:tcPr/>
          <w:p>
            <w:pPr>
              <w:pStyle w:val="Compact"/>
              <w:jc w:val="center"/>
            </w:pPr>
            <w:r>
              <w:rPr>
                <w:rFonts w:hint="eastAsia" w:ascii="Times New Roman" w:hAnsi="Times New Roman" w:eastAsia="FangSong" w:cs="Times New Roman"/>
              </w:rPr>
              <w:t>看到晶胞顶角和面心都有原子</w:t>
            </w:r>
            <w:r>
              <w:rPr>
                <w:rFonts w:hint="eastAsia" w:ascii="Times New Roman" w:hAnsi="Times New Roman" w:eastAsia="Times New Roman" w:cs="Times New Roman"/>
              </w:rPr>
              <w:t>，</w:t>
            </w:r>
            <w:r>
              <w:rPr>
                <w:rFonts w:hint="eastAsia" w:ascii="Times New Roman" w:hAnsi="Times New Roman" w:eastAsia="FangSong" w:cs="Times New Roman"/>
              </w:rPr>
              <w:t>就断定为面心立方点阵</w:t>
            </w:r>
            <w:r>
              <w:rPr>
                <w:rFonts w:hint="eastAsia" w:ascii="Times New Roman" w:hAnsi="Times New Roman" w:eastAsia="Times New Roman" w:cs="Times New Roman"/>
              </w:rPr>
              <w:t>；</w:t>
            </w:r>
            <w:r>
              <w:rPr>
                <w:rFonts w:hint="eastAsia" w:ascii="Times New Roman" w:hAnsi="Times New Roman" w:eastAsia="FangSong" w:cs="Times New Roman"/>
              </w:rPr>
              <w:t>在金刚石或六方晶胞中数错点阵类型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严格牢记</w:t>
            </w:r>
            <w:r>
              <w:rPr>
                <w:rFonts w:hint="eastAsia" w:ascii="Times New Roman" w:hAnsi="Times New Roman" w:eastAsia="Times New Roman" w:cs="Times New Roman"/>
              </w:rPr>
              <w:t>：</w:t>
            </w:r>
            <w:r>
              <w:rPr>
                <w:rFonts w:hint="eastAsia" w:ascii="Times New Roman" w:hAnsi="Times New Roman" w:eastAsia="FangSong" w:cs="Times New Roman"/>
              </w:rPr>
              <w:t>点阵点周围物理环境必须严格全同</w:t>
            </w:r>
            <w:r>
              <w:rPr>
                <w:rFonts w:hint="eastAsia" w:ascii="Times New Roman" w:hAnsi="Times New Roman" w:eastAsia="Times New Roman" w:cs="Times New Roman"/>
              </w:rPr>
              <w:t>。</w:t>
            </w:r>
            <w:r>
              <w:rPr>
                <w:rFonts w:hint="eastAsia" w:ascii="Times New Roman" w:hAnsi="Times New Roman" w:eastAsia="FangSong" w:cs="Times New Roman"/>
              </w:rPr>
              <w:t>金刚石中</w:t>
            </w:r>
            <w:r>
              <w:rPr>
                <w:rFonts w:ascii="Times New Roman" w:hAnsi="Times New Roman" w:eastAsia="Times New Roman" w:cs="Times New Roman"/>
              </w:rPr>
              <w:t xml:space="preserve"> 8 </w:t>
            </w:r>
            <w:r>
              <w:rPr>
                <w:rFonts w:hint="eastAsia" w:ascii="Times New Roman" w:hAnsi="Times New Roman" w:eastAsia="FangSong" w:cs="Times New Roman"/>
              </w:rPr>
              <w:t>个碳属于两套相互错开的面心套构</w:t>
            </w:r>
            <w:r>
              <w:rPr>
                <w:rFonts w:hint="eastAsia" w:ascii="Times New Roman" w:hAnsi="Times New Roman" w:eastAsia="Times New Roman" w:cs="Times New Roman"/>
              </w:rPr>
              <w:t>，</w:t>
            </w:r>
            <w:r>
              <w:rPr>
                <w:rFonts w:hint="eastAsia" w:ascii="Times New Roman" w:hAnsi="Times New Roman" w:eastAsia="FangSong" w:cs="Times New Roman"/>
              </w:rPr>
              <w:t>其所属布拉菲点阵严格为面心立方</w:t>
            </w:r>
            <w:r>
              <w:rPr>
                <w:rFonts w:hint="eastAsia" w:ascii="Times New Roman" w:hAnsi="Times New Roman" w:eastAsia="Times New Roman" w:cs="Times New Roman"/>
              </w:rPr>
              <w:t>，</w:t>
            </w:r>
            <w:r>
              <w:rPr>
                <w:rFonts w:hint="eastAsia" w:ascii="Times New Roman" w:hAnsi="Times New Roman" w:eastAsia="FangSong" w:cs="Times New Roman"/>
              </w:rPr>
              <w:t>基元为</w:t>
            </w:r>
            <w:r>
              <w:rPr>
                <w:rFonts w:ascii="Times New Roman" w:hAnsi="Times New Roman" w:eastAsia="Times New Roman" w:cs="Times New Roman"/>
              </w:rPr>
              <w:t xml:space="preserve"> 2 </w:t>
            </w:r>
            <w:r>
              <w:rPr>
                <w:rFonts w:hint="eastAsia" w:ascii="Times New Roman" w:hAnsi="Times New Roman" w:eastAsia="FangSong" w:cs="Times New Roman"/>
              </w:rPr>
              <w:t>个碳原子</w:t>
            </w:r>
            <w:r>
              <w:rPr>
                <w:rFonts w:hint="eastAsia" w:ascii="Times New Roman" w:hAnsi="Times New Roman" w:eastAsia="Times New Roman" w:cs="Times New Roman"/>
              </w:rPr>
              <w:t>（0,0,0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绝对不能说成</w:t>
            </w:r>
            <w:r>
              <w:rPr>
                <w:rFonts w:hint="eastAsia" w:ascii="Times New Roman" w:hAnsi="Times New Roman" w:eastAsia="Times New Roman" w:cs="Times New Roman"/>
              </w:rPr>
              <w:t>“</w:t>
            </w:r>
            <w:r>
              <w:rPr>
                <w:rFonts w:hint="eastAsia" w:ascii="Times New Roman" w:hAnsi="Times New Roman" w:eastAsia="FangSong" w:cs="Times New Roman"/>
              </w:rPr>
              <w:t>金刚石布拉菲点阵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均摊法分摊比例盲目套用</w:t>
            </w:r>
          </w:p>
        </w:tc>
        <w:tc>
          <w:tcPr/>
          <w:p>
            <w:pPr>
              <w:pStyle w:val="Compact"/>
              <w:jc w:val="center"/>
            </w:pPr>
            <w:r>
              <w:rPr>
                <w:rFonts w:hint="eastAsia" w:ascii="Times New Roman" w:hAnsi="Times New Roman" w:eastAsia="FangSong" w:cs="Times New Roman"/>
              </w:rPr>
              <w:t>在处理六方晶胞时</w:t>
            </w:r>
            <w:r>
              <w:rPr>
                <w:rFonts w:hint="eastAsia" w:ascii="Times New Roman" w:hAnsi="Times New Roman" w:eastAsia="Times New Roman" w:cs="Times New Roman"/>
              </w:rPr>
              <w:t>，</w:t>
            </w:r>
            <w:r>
              <w:rPr>
                <w:rFonts w:hint="eastAsia" w:ascii="Times New Roman" w:hAnsi="Times New Roman" w:eastAsia="FangSong" w:cs="Times New Roman"/>
              </w:rPr>
              <w:t>将顶角原子除以</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将垂直平行棱除以</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FangSong" w:cs="Times New Roman"/>
              </w:rPr>
              <w:t>牢记几何拼接度</w:t>
            </w:r>
            <w:r>
              <w:rPr>
                <w:rFonts w:hint="eastAsia" w:ascii="Times New Roman" w:hAnsi="Times New Roman" w:eastAsia="Times New Roman" w:cs="Times New Roman"/>
              </w:rPr>
              <w:t>：</w:t>
            </w:r>
            <w:r>
              <w:rPr>
                <w:rFonts w:hint="eastAsia" w:ascii="Times New Roman" w:hAnsi="Times New Roman" w:eastAsia="FangSong" w:cs="Times New Roman"/>
              </w:rPr>
              <w:t>六方晶系底面内角为</w:t>
            </w:r>
            <w:r>
              <w:rPr>
                <w:rFonts w:ascii="Times New Roman" w:hAnsi="Times New Roman" w:eastAsia="Times New Roman" w:cs="Times New Roman"/>
              </w:rPr>
              <w:t xml:space="preserve"> </w:t>
            </w:r>
            <w:r>
              <w:rPr>
                <w:rFonts w:hint="eastAsia" w:ascii="Times New Roman" w:hAnsi="Times New Roman" w:eastAsia="Times New Roman" w:cs="Times New Roman"/>
              </w:rPr>
              <w:t>60°/120°，</w:t>
            </w:r>
            <w:r>
              <w:rPr>
                <w:rFonts w:hint="eastAsia" w:ascii="Times New Roman" w:hAnsi="Times New Roman" w:eastAsia="FangSong" w:cs="Times New Roman"/>
              </w:rPr>
              <w:t>在正六棱柱中每个顶角仅被</w:t>
            </w:r>
            <w:r>
              <w:rPr>
                <w:rFonts w:ascii="Times New Roman" w:hAnsi="Times New Roman" w:eastAsia="Times New Roman" w:cs="Times New Roman"/>
              </w:rPr>
              <w:t xml:space="preserve"> 6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顶角分摊必须严格乘以</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垂直棱被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分摊严格为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仅有底面面心被</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（1/2）。</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四面体与八面体空隙混淆</w:t>
            </w:r>
          </w:p>
        </w:tc>
        <w:tc>
          <w:tcPr/>
          <w:p>
            <w:pPr>
              <w:pStyle w:val="Compact"/>
              <w:jc w:val="center"/>
            </w:pPr>
            <w:r>
              <w:rPr>
                <w:rFonts w:hint="eastAsia" w:ascii="Times New Roman" w:hAnsi="Times New Roman" w:eastAsia="FangSong" w:cs="Times New Roman"/>
              </w:rPr>
              <w:t>搞不清一个晶胞中究竟有多少个空隙</w:t>
            </w:r>
            <w:r>
              <w:rPr>
                <w:rFonts w:hint="eastAsia" w:ascii="Times New Roman" w:hAnsi="Times New Roman" w:eastAsia="Times New Roman" w:cs="Times New Roman"/>
              </w:rPr>
              <w:t>，</w:t>
            </w:r>
            <w:r>
              <w:rPr>
                <w:rFonts w:hint="eastAsia" w:ascii="Times New Roman" w:hAnsi="Times New Roman" w:eastAsia="FangSong" w:cs="Times New Roman"/>
              </w:rPr>
              <w:t>误将八面体空隙算作</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牢记拓扑守恒定理</w:t>
            </w:r>
            <w:r>
              <w:rPr>
                <w:rFonts w:hint="eastAsia" w:ascii="Times New Roman" w:hAnsi="Times New Roman" w:eastAsia="Times New Roman" w:cs="Times New Roman"/>
              </w:rPr>
              <w:t>：</w:t>
            </w:r>
            <w:r>
              <w:rPr>
                <w:rFonts w:hint="eastAsia" w:ascii="Times New Roman" w:hAnsi="Times New Roman" w:eastAsia="FangSong" w:cs="Times New Roman"/>
              </w:rPr>
              <w:t>在任何等径球最密堆积中</w:t>
            </w:r>
            <w:r>
              <w:rPr>
                <w:rFonts w:hint="eastAsia" w:ascii="Times New Roman" w:hAnsi="Times New Roman" w:eastAsia="Times New Roman" w:cs="Times New Roman"/>
              </w:rPr>
              <w:t>，</w:t>
            </w:r>
            <w:r>
              <w:rPr>
                <w:rFonts w:hint="eastAsia" w:ascii="Times New Roman" w:hAnsi="Times New Roman" w:eastAsia="FangSong" w:cs="Times New Roman"/>
              </w:rPr>
              <w:t>骨架球数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四面体空隙数严格恒等于</w:t>
            </w:r>
            <w:r>
              <w:rPr>
                <w:rFonts w:ascii="Times New Roman" w:hAnsi="Times New Roman" w:eastAsia="Times New Roman" w:cs="Times New Roman"/>
              </w:rPr>
              <w:t xml:space="preserve"> 1 : 1 : 2。fcc </w:t>
            </w: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个骨架球</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个小立方体中心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密勒指数直接采用截距</w:t>
            </w:r>
          </w:p>
        </w:tc>
        <w:tc>
          <w:tcPr/>
          <w:p>
            <w:pPr>
              <w:pStyle w:val="Compact"/>
              <w:jc w:val="center"/>
            </w:pPr>
            <w:r>
              <w:rPr>
                <w:rFonts w:hint="eastAsia" w:ascii="Times New Roman" w:hAnsi="Times New Roman" w:eastAsia="FangSong" w:cs="Times New Roman"/>
              </w:rPr>
              <w:t>计算晶面指标时</w:t>
            </w:r>
            <w:r>
              <w:rPr>
                <w:rFonts w:hint="eastAsia" w:ascii="Times New Roman" w:hAnsi="Times New Roman" w:eastAsia="Times New Roman" w:cs="Times New Roman"/>
              </w:rPr>
              <w:t>，</w:t>
            </w:r>
            <w:r>
              <w:rPr>
                <w:rFonts w:hint="eastAsia" w:ascii="Times New Roman" w:hAnsi="Times New Roman" w:eastAsia="FangSong" w:cs="Times New Roman"/>
              </w:rPr>
              <w:t>量出截距为</w:t>
            </w:r>
            <w:r>
              <w:rPr>
                <w:rFonts w:ascii="Times New Roman" w:hAnsi="Times New Roman" w:eastAsia="Times New Roman" w:cs="Times New Roman"/>
              </w:rPr>
              <w:t xml:space="preserve"> 1, 2, 2 </w:t>
            </w:r>
            <w:r>
              <w:rPr>
                <w:rFonts w:hint="eastAsia" w:ascii="Times New Roman" w:hAnsi="Times New Roman" w:eastAsia="FangSong" w:cs="Times New Roman"/>
              </w:rPr>
              <w:t xml:space="preserve">便误写为晶面</w:t>
            </w:r>
            <w:r>
              <w:rPr>
                <w:rFonts w:ascii="Times New Roman" w:hAnsi="Times New Roman" w:eastAsia="Times New Roman" w:cs="Times New Roman"/>
              </w:rPr>
              <w:t xml:space="preserve"> (122)。</w:t>
            </w:r>
          </w:p>
        </w:tc>
        <w:tc>
          <w:tcPr/>
          <w:p>
            <w:pPr>
              <w:pStyle w:val="Compact"/>
              <w:jc w:val="center"/>
            </w:pPr>
            <w:r>
              <w:rPr>
                <w:rFonts w:hint="eastAsia" w:ascii="Times New Roman" w:hAnsi="Times New Roman" w:eastAsia="FangSong" w:cs="Times New Roman"/>
              </w:rPr>
              <w:t>必须执行三步法</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最简互质整数比</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1, 2, 2 </w:t>
            </w:r>
            <w:r>
              <w:rPr>
                <w:rFonts w:hint="eastAsia" w:ascii="Times New Roman" w:hAnsi="Times New Roman" w:eastAsia="FangSong" w:cs="Times New Roman"/>
              </w:rPr>
              <w:t xml:space="preserve">的倒数为</w:t>
            </w:r>
            <w:r>
              <w:rPr>
                <w:rFonts w:ascii="Times New Roman" w:hAnsi="Times New Roman" w:eastAsia="Times New Roman" w:cs="Times New Roman"/>
              </w:rPr>
              <w:t xml:space="preserve"> 1, 1/2, </w:t>
            </w:r>
            <w:r>
              <w:rPr>
                <w:rFonts w:hint="eastAsia" w:ascii="Times New Roman" w:hAnsi="Times New Roman" w:eastAsia="Times New Roman" w:cs="Times New Roman"/>
              </w:rPr>
              <w:t>1/2，</w:t>
            </w:r>
            <w:r>
              <w:rPr>
                <w:rFonts w:hint="eastAsia" w:ascii="Times New Roman" w:hAnsi="Times New Roman" w:eastAsia="FangSong" w:cs="Times New Roman"/>
              </w:rPr>
              <w:t>通分乘以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得到真实的密勒指数应为</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若截距平行某轴</w:t>
            </w:r>
            <w:r>
              <w:rPr>
                <w:rFonts w:hint="eastAsia" w:ascii="Times New Roman" w:hAnsi="Times New Roman" w:eastAsia="Times New Roman" w:cs="Times New Roman"/>
              </w:rPr>
              <w:t>，</w:t>
            </w:r>
            <w:r>
              <w:rPr>
                <w:rFonts w:hint="eastAsia" w:ascii="Times New Roman" w:hAnsi="Times New Roman" w:eastAsia="FangSong" w:cs="Times New Roman"/>
              </w:rPr>
              <w:t>倒数为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b/>
                <w:bCs/>
              </w:rPr>
              <w:t xml:space="preserve">布拉格方程中</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颠倒</w:t>
            </w:r>
          </w:p>
        </w:tc>
        <w:tc>
          <w:tcPr/>
          <w:p>
            <w:pPr>
              <w:pStyle w:val="Compact"/>
              <w:jc w:val="center"/>
            </w:pP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直接将粉末衍射</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谱图横坐标给出的仪器角</w:t>
            </w:r>
            <w:r>
              <w:rPr>
                <w:rFonts w:ascii="Times New Roman" w:hAnsi="Times New Roman" w:eastAsia="Times New Roman" w:cs="Times New Roman"/>
              </w:rPr>
              <w:t xml:space="preserve"> </w:t>
            </w:r>
            <m:oMath>
              <m:r>
                <m:t>2</m:t>
              </m:r>
              <m:r>
                <m:t>θ</m:t>
              </m:r>
              <m:r>
                <m:rPr>
                  <m:sty m:val="p"/>
                </m:rPr>
                <m:t>=</m:t>
              </m:r>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中计算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必须时刻保持警惕</w:t>
            </w:r>
            <w:r>
              <w:rPr>
                <w:rFonts w:hint="eastAsia" w:ascii="Times New Roman" w:hAnsi="Times New Roman" w:eastAsia="Times New Roman" w:cs="Times New Roman"/>
              </w:rPr>
              <w:t>：</w:t>
            </w:r>
            <w:r>
              <w:rPr>
                <w:rFonts w:hint="eastAsia" w:ascii="Times New Roman" w:hAnsi="Times New Roman" w:eastAsia="FangSong" w:cs="Times New Roman"/>
              </w:rPr>
              <w:t>仪器探测器记录的是直射偏转角</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必须先除以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θ</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方可代入正弦函数</w:t>
            </w:r>
            <w:r>
              <w:rPr>
                <w:rFonts w:hint="eastAsia" w:ascii="Times New Roman" w:hAnsi="Times New Roman" w:eastAsia="Times New Roman" w:cs="Times New Roman"/>
              </w:rPr>
              <w:t>，</w:t>
            </w:r>
            <w:r>
              <w:rPr>
                <w:rFonts w:hint="eastAsia" w:ascii="Times New Roman" w:hAnsi="Times New Roman" w:eastAsia="FangSong" w:cs="Times New Roman"/>
              </w:rPr>
              <w:t>否则面间距计算出现两倍偏差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b/>
                <w:bCs/>
              </w:rPr>
              <w:t xml:space="preserve">六方密堆积晶胞轴比记错</w:t>
            </w:r>
          </w:p>
        </w:tc>
        <w:tc>
          <w:tcPr/>
          <w:p>
            <w:pPr>
              <w:pStyle w:val="Compact"/>
              <w:jc w:val="center"/>
            </w:pPr>
            <w:r>
              <w:rPr>
                <w:rFonts w:hint="eastAsia" w:ascii="Times New Roman" w:hAnsi="Times New Roman" w:eastAsia="FangSong" w:cs="Times New Roman"/>
              </w:rPr>
              <w:t xml:space="preserve">在由</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求算六方晶胞体积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误以为高</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rPr>
                  <m:sty m:val="p"/>
                </m:rPr>
                <m:t>=</m:t>
              </m:r>
              <m:r>
                <m:t>2</m:t>
              </m:r>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必须牢记刚球相切理想轴比</w:t>
            </w:r>
            <w:r>
              <w:rPr>
                <w:rFonts w:hint="eastAsia" w:ascii="Times New Roman" w:hAnsi="Times New Roman" w:eastAsia="Times New Roman" w:cs="Times New Roman"/>
              </w:rPr>
              <w:t>：</w:t>
            </w:r>
            <w:r>
              <w:rPr>
                <w:rFonts w:hint="eastAsia" w:ascii="Times New Roman" w:hAnsi="Times New Roman" w:eastAsia="FangSong" w:cs="Times New Roman"/>
              </w:rPr>
              <w:t>六方最密堆积中理想高度比</w:t>
            </w:r>
            <w:r>
              <w:rPr>
                <w:rFonts w:ascii="Times New Roman" w:hAnsi="Times New Roman" w:eastAsia="Times New Roman" w:cs="Times New Roman"/>
              </w:rPr>
              <w:t xml:space="preserve"> </w:t>
            </w:r>
            <m:oMath>
              <m:r>
                <m:t>c</m:t>
              </m:r>
              <m:r>
                <m:rPr>
                  <m:sty m:val="p"/>
                </m:rPr>
                <m:t>/</m:t>
              </m:r>
              <m:r>
                <m:t>a</m:t>
              </m:r>
              <m:r>
                <m:rPr>
                  <m:sty m:val="p"/>
                </m:rPr>
                <m:t>=</m:t>
              </m:r>
              <m:rad>
                <m:radPr>
                  <m:degHide m:val="on"/>
                </m:radPr>
                <m:deg/>
                <m:e>
                  <m:r>
                    <m:t>8</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晶胞体积公式</w:t>
            </w:r>
            <w:r>
              <w:rPr>
                <w:rFonts w:ascii="Times New Roman" w:hAnsi="Times New Roman" w:eastAsia="Times New Roman" w:cs="Times New Roman"/>
              </w:rPr>
              <w:t xml:space="preserve"> </w:t>
            </w: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sSup>
                <m:e>
                  <m:r>
                    <m:t>a</m:t>
                  </m:r>
                </m:e>
                <m:sup>
                  <m:r>
                    <m:t>3</m:t>
                  </m:r>
                </m:sup>
              </m:sSup>
              <m:rad>
                <m:radPr>
                  <m:degHide m:val="on"/>
                </m:radPr>
                <m:deg/>
                <m:e>
                  <m:r>
                    <m:t>8</m:t>
                  </m:r>
                  <m:r>
                    <m:rPr>
                      <m:sty m:val="p"/>
                    </m:rPr>
                    <m:t>/</m:t>
                  </m:r>
                  <m:r>
                    <m:t>3</m:t>
                  </m:r>
                </m:e>
              </m:rad>
              <m:r>
                <m:rPr>
                  <m:sty m:val="p"/>
                </m:rPr>
                <m:t>=</m:t>
              </m:r>
              <m:rad>
                <m:radPr>
                  <m:degHide m:val="on"/>
                </m:radPr>
                <m:deg/>
                <m:e>
                  <m:r>
                    <m:t>2</m:t>
                  </m:r>
                </m:e>
              </m:rad>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b/>
                <w:bCs/>
              </w:rPr>
              <w:t xml:space="preserve">钙钛矿结构不同视角数错</w:t>
            </w:r>
          </w:p>
        </w:tc>
        <w:tc>
          <w:tcPr/>
          <w:p>
            <w:pPr>
              <w:pStyle w:val="Compact"/>
              <w:jc w:val="center"/>
            </w:pPr>
            <w:r>
              <w:rPr>
                <w:rFonts w:hint="eastAsia" w:ascii="Times New Roman" w:hAnsi="Times New Roman" w:eastAsia="FangSong" w:cs="Times New Roman"/>
              </w:rPr>
              <w:t xml:space="preserve">题目将晶胞原点选在过渡金属</w:t>
            </w:r>
            <w:r>
              <w:rPr>
                <w:rFonts w:ascii="Times New Roman" w:hAnsi="Times New Roman" w:eastAsia="Times New Roman" w:cs="Times New Roman"/>
              </w:rPr>
              <w:t xml:space="preserve"> B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在顶角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由于思维定势仍在按传统顶角算</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审题第一步必须先看图例标定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Ti </w:t>
            </w:r>
            <w:r>
              <w:rPr>
                <w:rFonts w:hint="eastAsia" w:ascii="Times New Roman" w:hAnsi="Times New Roman" w:eastAsia="FangSong" w:cs="Times New Roman"/>
              </w:rPr>
              <w:t>处于顶角</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Ca </w:t>
            </w:r>
            <w:r>
              <w:rPr>
                <w:rFonts w:hint="eastAsia" w:ascii="Times New Roman" w:hAnsi="Times New Roman" w:eastAsia="FangSong" w:cs="Times New Roman"/>
              </w:rPr>
              <w:t>必定处于体心</w:t>
            </w:r>
            <w:r>
              <w:rPr>
                <w:rFonts w:hint="eastAsia" w:ascii="Times New Roman" w:hAnsi="Times New Roman" w:eastAsia="Times New Roman" w:cs="Times New Roman"/>
              </w:rPr>
              <w:t>（</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氧原子处于</w:t>
            </w:r>
            <w:r>
              <w:rPr>
                <w:rFonts w:ascii="Times New Roman" w:hAnsi="Times New Roman" w:eastAsia="Times New Roman" w:cs="Times New Roman"/>
              </w:rPr>
              <w:t xml:space="preserve"> 12 </w:t>
            </w:r>
            <w:r>
              <w:rPr>
                <w:rFonts w:hint="eastAsia" w:ascii="Times New Roman" w:hAnsi="Times New Roman" w:eastAsia="FangSong" w:cs="Times New Roman"/>
              </w:rPr>
              <w:t>根棱中点</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化学式依然严格为</w:t>
            </w:r>
            <w:r>
              <w:rPr>
                <w:rFonts w:ascii="Times New Roman" w:hAnsi="Times New Roman" w:eastAsia="Times New Roman" w:cs="Times New Roman"/>
              </w:rPr>
              <w:t xml:space="preserve"> </w:t>
            </w:r>
            <m:oMath>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b/>
                <w:bCs/>
              </w:rPr>
              <w:t xml:space="preserve">密度计算漏乘</w:t>
            </w:r>
            <w:r>
              <w:rPr>
                <w:rFonts w:ascii="Times New Roman" w:hAnsi="Times New Roman" w:eastAsia="Times New Roman" w:cs="Times New Roman"/>
                <w:b/>
                <w:bCs/>
              </w:rPr>
              <w:t xml:space="preserve"> </w:t>
            </w:r>
            <m:oMath>
              <m:sSup>
                <m:e>
                  <m:r>
                    <m:t>10</m:t>
                  </m:r>
                </m:e>
                <m:sup>
                  <m:r>
                    <m:rPr>
                      <m:sty m:val="p"/>
                    </m:rPr>
                    <m:t>−</m:t>
                  </m:r>
                  <m:r>
                    <m:t>24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转换</w:t>
            </w:r>
          </w:p>
        </w:tc>
        <w:tc>
          <w:tcPr/>
          <w:p>
            <w:pPr>
              <w:pStyle w:val="Compact"/>
              <w:jc w:val="center"/>
            </w:pPr>
            <w:r>
              <w:rPr>
                <w:rFonts w:hint="eastAsia" w:ascii="Times New Roman" w:hAnsi="Times New Roman" w:eastAsia="FangSong" w:cs="Times New Roman"/>
              </w:rPr>
              <w:t>计算晶体密度时</w:t>
            </w:r>
            <w:r>
              <w:rPr>
                <w:rFonts w:hint="eastAsia" w:ascii="Times New Roman" w:hAnsi="Times New Roman" w:eastAsia="Times New Roman" w:cs="Times New Roman"/>
              </w:rPr>
              <w:t>，</w:t>
            </w:r>
            <w:r>
              <w:rPr>
                <w:rFonts w:hint="eastAsia" w:ascii="Times New Roman" w:hAnsi="Times New Roman" w:eastAsia="FangSong" w:cs="Times New Roman"/>
              </w:rPr>
              <w:t>将摩尔质量除以阿伏伽德罗常数后</w:t>
            </w:r>
            <w:r>
              <w:rPr>
                <w:rFonts w:hint="eastAsia" w:ascii="Times New Roman" w:hAnsi="Times New Roman" w:eastAsia="Times New Roman" w:cs="Times New Roman"/>
              </w:rPr>
              <w:t>，</w:t>
            </w:r>
            <w:r>
              <w:rPr>
                <w:rFonts w:hint="eastAsia" w:ascii="Times New Roman" w:hAnsi="Times New Roman" w:eastAsia="FangSong" w:cs="Times New Roman"/>
              </w:rPr>
              <w:t>直接除以以</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为单位的体积</w:t>
            </w:r>
            <w:r>
              <w:rPr>
                <w:rFonts w:hint="eastAsia" w:ascii="Times New Roman" w:hAnsi="Times New Roman" w:eastAsia="Times New Roman" w:cs="Times New Roman"/>
              </w:rPr>
              <w:t>，</w:t>
            </w:r>
            <w:r>
              <w:rPr>
                <w:rFonts w:hint="eastAsia" w:ascii="Times New Roman" w:hAnsi="Times New Roman" w:eastAsia="FangSong" w:cs="Times New Roman"/>
              </w:rPr>
              <w:t>结果出现高达</w:t>
            </w:r>
            <w:r>
              <w:rPr>
                <w:rFonts w:ascii="Times New Roman" w:hAnsi="Times New Roman" w:eastAsia="Times New Roman" w:cs="Times New Roman"/>
              </w:rPr>
              <w:t xml:space="preserve"> </w:t>
            </w:r>
            <m:oMath>
              <m:sSup>
                <m:e>
                  <m:r>
                    <m:t>10</m:t>
                  </m:r>
                </m:e>
                <m:sup>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的荒谬数值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养成量纲严密习惯</w:t>
            </w:r>
            <w:r>
              <w:rPr>
                <w:rFonts w:hint="eastAsia" w:ascii="Times New Roman" w:hAnsi="Times New Roman" w:eastAsia="Times New Roman" w:cs="Times New Roman"/>
              </w:rPr>
              <w:t>：</w:t>
            </w:r>
            <m:oMath>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计算密度时分母必须写成</w:t>
            </w:r>
            <w:r>
              <w:rPr>
                <w:rFonts w:ascii="Times New Roman" w:hAnsi="Times New Roman" w:eastAsia="Times New Roman" w:cs="Times New Roman"/>
              </w:rPr>
              <w:t xml:space="preserve"> </w:t>
            </w:r>
            <m:oMath>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算出的结果数值通常在</w:t>
            </w:r>
            <w:r>
              <w:rPr>
                <w:rFonts w:ascii="Times New Roman" w:hAnsi="Times New Roman" w:eastAsia="Times New Roman" w:cs="Times New Roman"/>
              </w:rPr>
              <w:t xml:space="preserve"> </w:t>
            </w:r>
            <m:oMath>
              <m:r>
                <m:t>1</m:t>
              </m:r>
              <m:r>
                <m:rPr>
                  <m:sty m:val="p"/>
                </m:rPr>
                <m:t>∼</m:t>
              </m:r>
              <m:r>
                <m:t>20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之间方为合理区间</w:t>
            </w:r>
            <w:r>
              <w:rPr>
                <w:rFonts w:hint="eastAsia" w:ascii="Times New Roman" w:hAnsi="Times New Roman" w:eastAsia="Times New Roman" w:cs="Times New Roman"/>
              </w:rPr>
              <w:t>。</w:t>
            </w:r>
          </w:p>
        </w:tc>
      </w:tr>
    </w:tbl>
    <w:bookmarkEnd w:id="95"/>
    <w:bookmarkStart w:id="96"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p>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jpg"/><Relationship Id="rId27" Type="http://schemas.openxmlformats.org/officeDocument/2006/relationships/image" Target="media/rId27.png"/><Relationship Id="rId91" Type="http://schemas.openxmlformats.org/officeDocument/2006/relationships/image" Target="media/rId91.png"/><Relationship Id="rId67" Type="http://schemas.openxmlformats.org/officeDocument/2006/relationships/image" Target="media/rId67.png"/><Relationship Id="rId63" Type="http://schemas.openxmlformats.org/officeDocument/2006/relationships/image" Target="media/rId63.jpg"/><Relationship Id="rId37" Type="http://schemas.openxmlformats.org/officeDocument/2006/relationships/image" Target="media/rId37.png"/><Relationship Id="rId77" Type="http://schemas.openxmlformats.org/officeDocument/2006/relationships/image" Target="media/rId77.png"/><Relationship Id="rId13" Type="http://schemas.openxmlformats.org/officeDocument/2006/relationships/image" Target="media/rId13.jpg"/><Relationship Id="rId44" Type="http://schemas.openxmlformats.org/officeDocument/2006/relationships/image" Target="media/rId44.png"/><Relationship Id="rId86" Type="http://schemas.openxmlformats.org/officeDocument/2006/relationships/image" Target="media/rId86.jpg"/><Relationship Id="rId40" Type="http://schemas.openxmlformats.org/officeDocument/2006/relationships/image" Target="media/rId40.png"/><Relationship Id="rId50" Type="http://schemas.openxmlformats.org/officeDocument/2006/relationships/image" Target="media/rId50.png"/><Relationship Id="rId31" Type="http://schemas.openxmlformats.org/officeDocument/2006/relationships/image" Target="media/rId31.png"/><Relationship Id="rId20" Type="http://schemas.openxmlformats.org/officeDocument/2006/relationships/image" Target="media/rId20.png"/><Relationship Id="rId17" Type="http://schemas.openxmlformats.org/officeDocument/2006/relationships/image" Target="media/rId17.png"/><Relationship Id="rId83" Type="http://schemas.openxmlformats.org/officeDocument/2006/relationships/image" Target="media/rId83.png"/><Relationship Id="rId47" Type="http://schemas.openxmlformats.org/officeDocument/2006/relationships/image" Target="media/rId47.png"/><Relationship Id="rId73" Type="http://schemas.openxmlformats.org/officeDocument/2006/relationships/image" Target="media/rId73.png"/><Relationship Id="rId10" Type="http://schemas.openxmlformats.org/officeDocument/2006/relationships/image" Target="media/rId10.png"/><Relationship Id="rId56" Type="http://schemas.openxmlformats.org/officeDocument/2006/relationships/image" Target="media/rId56.png"/><Relationship Id="rId34" Type="http://schemas.openxmlformats.org/officeDocument/2006/relationships/image" Target="media/rId34.png"/><Relationship Id="rId53" Type="http://schemas.openxmlformats.org/officeDocument/2006/relationships/image" Target="media/rId53.png"/><Relationship Id="rId23" Type="http://schemas.openxmlformats.org/officeDocument/2006/relationships/image" Target="media/rId23.png"/><Relationship Id="rId80" Type="http://schemas.openxmlformats.org/officeDocument/2006/relationships/image" Target="media/rId80.pn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2026-09-29T03:14:57Z</dcterms:created>
  <dcterms:modified xsi:type="dcterms:W3CDTF">2026-09-29T03:14:57Z</dcterms:modified>
</cp:coreProperties>
</file>

<file path=docProps/custom.xml><?xml version="1.0" encoding="utf-8"?>
<Properties xmlns="http://schemas.openxmlformats.org/officeDocument/2006/custom-properties" xmlns:vt="http://schemas.openxmlformats.org/officeDocument/2006/docPropsVTypes"/>
</file>