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衍射与倒易空间</w:t>
            </w:r>
          </w:p>
        </w:tc>
        <w:tc>
          <w:tcPr/>
          <w:p>
            <w:pPr>
              <w:pStyle w:val="Compact"/>
              <w:jc w:val="center"/>
            </w:pPr>
            <w:r>
              <w:rPr>
                <w:rFonts w:hint="eastAsia" w:ascii="Times New Roman" w:hAnsi="Times New Roman" w:eastAsia="FangSong" w:cs="Times New Roman"/>
              </w:rPr>
              <w:t xml:space="preserve">由结构因子推导与倒易空间几何解释衍射强度与消光</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系统消光与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判型</w:t>
            </w:r>
          </w:p>
        </w:tc>
        <w:tc>
          <w:tcPr/>
          <w:p>
            <w:pPr>
              <w:pStyle w:val="Compact"/>
              <w:jc w:val="center"/>
            </w:pPr>
            <w:r>
              <w:rPr>
                <w:rFonts w:hint="eastAsia" w:ascii="Times New Roman" w:hAnsi="Times New Roman" w:eastAsia="FangSong" w:cs="Times New Roman"/>
              </w:rPr>
              <w:t xml:space="preserve">由粉末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衍射峰序列反演晶胞参数并快速判型</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密堆积衍生结构</w:t>
            </w:r>
          </w:p>
        </w:tc>
        <w:tc>
          <w:tcPr/>
          <w:p>
            <w:pPr>
              <w:pStyle w:val="Compact"/>
              <w:jc w:val="cente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ascii="Times New Roman" w:hAnsi="Times New Roman" w:eastAsia="Times New Roman" w:cs="Times New Roman"/>
              </w:rPr>
              <w:t xml:space="preserve"> </w:t>
            </w:r>
            <w:r>
              <w:rPr>
                <w:rFonts w:hint="eastAsia" w:ascii="Times New Roman" w:hAnsi="Times New Roman" w:eastAsia="Times New Roman" w:cs="Times New Roman"/>
              </w:rPr>
              <w:t>NiAs/CdI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金红石型配位拓扑</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尖晶石与钙钛矿</w:t>
            </w:r>
          </w:p>
        </w:tc>
        <w:tc>
          <w:tcPr/>
          <w:p>
            <w:pPr>
              <w:pStyle w:val="Compact"/>
              <w:jc w:val="center"/>
            </w:pPr>
            <w:r>
              <w:rPr>
                <w:rFonts w:hint="eastAsia" w:ascii="Times New Roman" w:hAnsi="Times New Roman" w:eastAsia="FangSong" w:cs="Times New Roman"/>
              </w:rPr>
              <w:t xml:space="preserve">完成尖晶石晶胞拆分与</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用容差因子分析钙钛矿畸变</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层状与超导结构</w:t>
            </w:r>
          </w:p>
        </w:tc>
        <w:tc>
          <w:tcPr/>
          <w:p>
            <w:pPr>
              <w:pStyle w:val="Compact"/>
              <w:jc w:val="cente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同系物演化与</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氧空位序</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缺陷化学</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符号描述非化学计量缺陷平衡</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晶体结构</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衍射物理与倒易消光</w:t>
            </w:r>
          </w:p>
        </w:tc>
        <w:tc>
          <w:tcPr/>
          <w:p>
            <w:pPr>
              <w:pStyle w:val="Compact"/>
              <w:jc w:val="center"/>
            </w:pPr>
            <w:r>
              <w:rPr>
                <w:rFonts w:hint="eastAsia" w:ascii="Times New Roman" w:hAnsi="Times New Roman" w:eastAsia="FangSong" w:cs="Times New Roman"/>
              </w:rPr>
              <w:t xml:space="preserve">深刻理解微观结构因子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与宏观</w:t>
            </w:r>
            <w:r>
              <w:rPr>
                <w:rFonts w:ascii="Times New Roman" w:hAnsi="Times New Roman" w:eastAsia="Times New Roman" w:cs="Times New Roman"/>
              </w:rPr>
              <w:t xml:space="preserve"> X </w:t>
            </w:r>
            <w:r>
              <w:rPr>
                <w:rFonts w:hint="eastAsia" w:ascii="Times New Roman" w:hAnsi="Times New Roman" w:eastAsia="FangSong" w:cs="Times New Roman"/>
              </w:rPr>
              <w:t>射线衍射强度的微积分映射机制</w:t>
            </w:r>
            <w:r>
              <w:rPr>
                <w:rFonts w:hint="eastAsia" w:ascii="Times New Roman" w:hAnsi="Times New Roman" w:eastAsia="Times New Roman" w:cs="Times New Roman"/>
              </w:rPr>
              <w:t>；</w:t>
            </w:r>
            <w:r>
              <w:rPr>
                <w:rFonts w:hint="eastAsia" w:ascii="Times New Roman" w:hAnsi="Times New Roman" w:eastAsia="FangSong" w:cs="Times New Roman"/>
              </w:rPr>
              <w:t>掌握点阵消光与空间群滑移</w:t>
            </w:r>
            <w:r>
              <w:rPr>
                <w:rFonts w:hint="eastAsia" w:ascii="Times New Roman" w:hAnsi="Times New Roman" w:eastAsia="Times New Roman" w:cs="Times New Roman"/>
              </w:rPr>
              <w:t>/</w:t>
            </w:r>
            <w:r>
              <w:rPr>
                <w:rFonts w:hint="eastAsia" w:ascii="Times New Roman" w:hAnsi="Times New Roman" w:eastAsia="FangSong" w:cs="Times New Roman"/>
              </w:rPr>
              <w:t>螺旋消光的代数推导</w:t>
            </w:r>
            <w:r>
              <w:rPr>
                <w:rFonts w:hint="eastAsia" w:ascii="Times New Roman" w:hAnsi="Times New Roman" w:eastAsia="Times New Roman" w:cs="Times New Roman"/>
              </w:rPr>
              <w:t>；</w:t>
            </w:r>
            <w:r>
              <w:rPr>
                <w:rFonts w:hint="eastAsia" w:ascii="Times New Roman" w:hAnsi="Times New Roman" w:eastAsia="FangSong" w:cs="Times New Roman"/>
              </w:rPr>
              <w:t>熟练运用粉末</w:t>
            </w:r>
            <w:r>
              <w:rPr>
                <w:rFonts w:ascii="Times New Roman" w:hAnsi="Times New Roman" w:eastAsia="Times New Roman" w:cs="Times New Roman"/>
              </w:rPr>
              <w:t xml:space="preserve"> XRD </w:t>
            </w:r>
            <w:r>
              <w:rPr>
                <w:rFonts w:hint="eastAsia" w:ascii="Times New Roman" w:hAnsi="Times New Roman" w:eastAsia="FangSong" w:cs="Times New Roman"/>
              </w:rPr>
              <w:t>衍射峰序列比值法则反演立方晶系点阵类型与精确晶胞参数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晶体结构</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紧密堆积演化与密堆多型</w:t>
            </w:r>
          </w:p>
        </w:tc>
        <w:tc>
          <w:tcPr/>
          <w:p>
            <w:pPr>
              <w:pStyle w:val="Compact"/>
              <w:jc w:val="center"/>
            </w:pPr>
            <w:r>
              <w:rPr>
                <w:rFonts w:hint="eastAsia" w:ascii="Times New Roman" w:hAnsi="Times New Roman" w:eastAsia="FangSong" w:cs="Times New Roman"/>
              </w:rPr>
              <w:t>掌握刚球最密堆积的多型性</w:t>
            </w:r>
            <w:r>
              <w:rPr>
                <w:rFonts w:hint="eastAsia" w:ascii="Times New Roman" w:hAnsi="Times New Roman" w:eastAsia="Times New Roman" w:cs="Times New Roman"/>
              </w:rPr>
              <w:t>（Polytypism）</w:t>
            </w:r>
            <w:r>
              <w:rPr>
                <w:rFonts w:hint="eastAsia" w:ascii="Times New Roman" w:hAnsi="Times New Roman" w:eastAsia="FangSong" w:cs="Times New Roman"/>
              </w:rPr>
              <w:t>原理与</w:t>
            </w:r>
            <w:r>
              <w:rPr>
                <w:rFonts w:ascii="Times New Roman" w:hAnsi="Times New Roman" w:eastAsia="Times New Roman" w:cs="Times New Roman"/>
              </w:rPr>
              <w:t xml:space="preserve"> Jagodzinski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熟谙六方最密堆积</w:t>
            </w:r>
            <w:r>
              <w:rPr>
                <w:rFonts w:hint="eastAsia" w:ascii="Times New Roman" w:hAnsi="Times New Roman" w:eastAsia="Times New Roman" w:cs="Times New Roman"/>
              </w:rPr>
              <w:t>（hcp）</w:t>
            </w:r>
            <w:r>
              <w:rPr>
                <w:rFonts w:hint="eastAsia" w:ascii="Times New Roman" w:hAnsi="Times New Roman" w:eastAsia="FangSong" w:cs="Times New Roman"/>
              </w:rPr>
              <w:t>及其空隙填充衍生族</w:t>
            </w:r>
            <w:r>
              <w:rPr>
                <w:rFonts w:hint="eastAsia" w:ascii="Times New Roman" w:hAnsi="Times New Roman" w:eastAsia="Times New Roman" w:cs="Times New Roman"/>
              </w:rPr>
              <w:t>（NiAs,</w:t>
            </w:r>
            <w:r>
              <w:rPr>
                <w:rFonts w:ascii="Times New Roman" w:hAnsi="Times New Roman" w:eastAsia="Times New Roman" w:cs="Times New Roman"/>
              </w:rPr>
              <w:t xml:space="preserve"> </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金红石等</w:t>
            </w:r>
            <w:r>
              <w:rPr>
                <w:rFonts w:hint="eastAsia" w:ascii="Times New Roman" w:hAnsi="Times New Roman" w:eastAsia="Times New Roman" w:cs="Times New Roman"/>
              </w:rPr>
              <w:t>）</w:t>
            </w:r>
            <w:r>
              <w:rPr>
                <w:rFonts w:hint="eastAsia" w:ascii="Times New Roman" w:hAnsi="Times New Roman" w:eastAsia="FangSong" w:cs="Times New Roman"/>
              </w:rPr>
              <w:t>的轴比畸变与配位多面体连接规律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常见晶体结构</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复杂多面体与功能固态材料</w:t>
            </w:r>
          </w:p>
        </w:tc>
        <w:tc>
          <w:tcPr/>
          <w:p>
            <w:pPr>
              <w:pStyle w:val="Compact"/>
              <w:jc w:val="center"/>
            </w:pPr>
            <w:r>
              <w:rPr>
                <w:rFonts w:hint="eastAsia" w:ascii="Times New Roman" w:hAnsi="Times New Roman" w:eastAsia="FangSong" w:cs="Times New Roman"/>
              </w:rPr>
              <w:t>精通尖晶石与反尖晶石结构的晶胞拆分</w:t>
            </w:r>
            <w:r>
              <w:rPr>
                <w:rFonts w:hint="eastAsia" w:ascii="Times New Roman" w:hAnsi="Times New Roman" w:eastAsia="Times New Roman" w:cs="Times New Roman"/>
              </w:rPr>
              <w:t>、</w:t>
            </w:r>
            <w:r>
              <w:rPr>
                <w:rFonts w:hint="eastAsia" w:ascii="Times New Roman" w:hAnsi="Times New Roman" w:eastAsia="FangSong" w:cs="Times New Roman"/>
              </w:rPr>
              <w:t>子立方体拓扑模型及晶体场稳定化能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占位偏好计算</w:t>
            </w:r>
            <w:r>
              <w:rPr>
                <w:rFonts w:hint="eastAsia" w:ascii="Times New Roman" w:hAnsi="Times New Roman" w:eastAsia="Times New Roman" w:cs="Times New Roman"/>
              </w:rPr>
              <w:t>；</w:t>
            </w:r>
            <w:r>
              <w:rPr>
                <w:rFonts w:hint="eastAsia" w:ascii="Times New Roman" w:hAnsi="Times New Roman" w:eastAsia="FangSong" w:cs="Times New Roman"/>
              </w:rPr>
              <w:t>掌握钙钛矿容差因子</w:t>
            </w:r>
            <w:r>
              <w:rPr>
                <w:rFonts w:hint="eastAsia" w:ascii="Times New Roman" w:hAnsi="Times New Roman" w:eastAsia="Times New Roman" w:cs="Times New Roman"/>
              </w:rPr>
              <w:t>、</w:t>
            </w:r>
            <w:r>
              <w:rPr>
                <w:rFonts w:hint="eastAsia" w:ascii="Times New Roman" w:hAnsi="Times New Roman" w:eastAsia="FangSong" w:cs="Times New Roman"/>
              </w:rPr>
              <w:t>八面体倾斜旋转</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FangSong" w:cs="Times New Roman"/>
              </w:rPr>
              <w:t>同系物演化</w:t>
            </w:r>
            <w:r>
              <w:rPr>
                <w:rFonts w:hint="eastAsia" w:ascii="Times New Roman" w:hAnsi="Times New Roman" w:eastAsia="Times New Roman" w:cs="Times New Roman"/>
              </w:rPr>
              <w:t>、YBCO</w:t>
            </w:r>
            <w:r>
              <w:rPr>
                <w:rFonts w:ascii="Times New Roman" w:hAnsi="Times New Roman" w:eastAsia="Times New Roman" w:cs="Times New Roman"/>
              </w:rPr>
              <w:t xml:space="preserve"> </w:t>
            </w:r>
            <w:r>
              <w:rPr>
                <w:rFonts w:hint="eastAsia" w:ascii="Times New Roman" w:hAnsi="Times New Roman" w:eastAsia="FangSong" w:cs="Times New Roman"/>
              </w:rPr>
              <w:t>超导氧缺陷链及非整比缺陷平衡</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9"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4059"/>
            <wp:effectExtent b="0" l="0" r="0" t="0"/>
            <wp:docPr descr="" title="" id="11" name="Picture"/>
            <a:graphic>
              <a:graphicData uri="http://schemas.openxmlformats.org/drawingml/2006/picture">
                <pic:pic>
                  <pic:nvPicPr>
                    <pic:cNvPr descr="5895babe1e4323d0720a5e3454cabee35f81911a4ec212c5e8428e1cb4fc372c.png" id="12" name="Picture"/>
                    <pic:cNvPicPr>
                      <a:picLocks noChangeArrowheads="1" noChangeAspect="1"/>
                    </pic:cNvPicPr>
                  </pic:nvPicPr>
                  <pic:blipFill>
                    <a:blip r:embed="rId10"/>
                    <a:stretch>
                      <a:fillRect/>
                    </a:stretch>
                  </pic:blipFill>
                  <pic:spPr bwMode="auto">
                    <a:xfrm>
                      <a:off x="0" y="0"/>
                      <a:ext cx="2667000" cy="9140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p>
      <w:pPr>
        <w:pStyle w:val="BodyText"/>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614"/>
            <wp:effectExtent b="0" l="0" r="0" t="0"/>
            <wp:docPr descr="" title="" id="14" name="Picture"/>
            <a:graphic>
              <a:graphicData uri="http://schemas.openxmlformats.org/drawingml/2006/picture">
                <pic:pic>
                  <pic:nvPicPr>
                    <pic:cNvPr descr="e9c1db3e7b47f8badc8b33ea8df1765f0b1a75a59361a43f7ef180cc607117dc.png" id="15" name="Picture"/>
                    <pic:cNvPicPr>
                      <a:picLocks noChangeArrowheads="1" noChangeAspect="1"/>
                    </pic:cNvPicPr>
                  </pic:nvPicPr>
                  <pic:blipFill>
                    <a:blip r:embed="rId13"/>
                    <a:stretch>
                      <a:fillRect/>
                    </a:stretch>
                  </pic:blipFill>
                  <pic:spPr bwMode="auto">
                    <a:xfrm>
                      <a:off x="0" y="0"/>
                      <a:ext cx="2667000" cy="929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p>
      <w:pPr>
        <w:pStyle w:val="BodyText"/>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91596"/>
            <wp:effectExtent b="0" l="0" r="0" t="0"/>
            <wp:docPr descr="" title="" id="17" name="Picture"/>
            <a:graphic>
              <a:graphicData uri="http://schemas.openxmlformats.org/drawingml/2006/picture">
                <pic:pic>
                  <pic:nvPicPr>
                    <pic:cNvPr descr="8cb594e7cd926ced4aee688df607034f72c4b7d26b05ece12ccca69b7c7e4865.png" id="18" name="Picture"/>
                    <pic:cNvPicPr>
                      <a:picLocks noChangeArrowheads="1" noChangeAspect="1"/>
                    </pic:cNvPicPr>
                  </pic:nvPicPr>
                  <pic:blipFill>
                    <a:blip r:embed="rId16"/>
                    <a:stretch>
                      <a:fillRect/>
                    </a:stretch>
                  </pic:blipFill>
                  <pic:spPr bwMode="auto">
                    <a:xfrm>
                      <a:off x="0" y="0"/>
                      <a:ext cx="2667000" cy="16915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p>
      <w:pPr>
        <w:spacing w:before="160" w:after="80"/>
      </w:pPr>
      <w:r>
        <w:pict>
          <v:rect style="width:0;height:1.5pt" o:hralign="center" o:hrstd="t" o:hr="t"/>
        </w:pict>
      </w:r>
    </w:p>
    <w:bookmarkEnd w:id="19"/>
    <w:bookmarkStart w:id="29"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78652"/>
            <wp:effectExtent b="0" l="0" r="0" t="0"/>
            <wp:docPr descr="" title="" id="21" name="Picture"/>
            <a:graphic>
              <a:graphicData uri="http://schemas.openxmlformats.org/drawingml/2006/picture">
                <pic:pic>
                  <pic:nvPicPr>
                    <pic:cNvPr descr="6301e6569b4ca6d2352979cad869d6b9a07c326fb3b9a20bf37a0ae7a6b9937b.png" id="22" name="Picture"/>
                    <pic:cNvPicPr>
                      <a:picLocks noChangeArrowheads="1" noChangeAspect="1"/>
                    </pic:cNvPicPr>
                  </pic:nvPicPr>
                  <pic:blipFill>
                    <a:blip r:embed="rId20"/>
                    <a:stretch>
                      <a:fillRect/>
                    </a:stretch>
                  </pic:blipFill>
                  <pic:spPr bwMode="auto">
                    <a:xfrm>
                      <a:off x="0" y="0"/>
                      <a:ext cx="2667000" cy="167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p>
      <w:pPr>
        <w:pStyle w:val="BodyText"/>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24" name="Picture"/>
            <a:graphic>
              <a:graphicData uri="http://schemas.openxmlformats.org/drawingml/2006/picture">
                <pic:pic>
                  <pic:nvPicPr>
                    <pic:cNvPr descr="d5b5f78c3a235ab1298a43c1c94e74578cf75838c8e183e24759e6f6f7692ff9.png" id="25" name="Picture"/>
                    <pic:cNvPicPr>
                      <a:picLocks noChangeArrowheads="1" noChangeAspect="1"/>
                    </pic:cNvPicPr>
                  </pic:nvPicPr>
                  <pic:blipFill>
                    <a:blip r:embed="rId2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p>
      <w:pPr>
        <w:pStyle w:val="BodyText"/>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7" name="Picture"/>
            <a:graphic>
              <a:graphicData uri="http://schemas.openxmlformats.org/drawingml/2006/picture">
                <pic:pic>
                  <pic:nvPicPr>
                    <pic:cNvPr descr="a0df0d6f5853f877dfb0546a02163e8335d8cc6c8c3dc1681445480ec55f78a4.png" id="28" name="Picture"/>
                    <pic:cNvPicPr>
                      <a:picLocks noChangeArrowheads="1" noChangeAspect="1"/>
                    </pic:cNvPicPr>
                  </pic:nvPicPr>
                  <pic:blipFill>
                    <a:blip r:embed="rId26"/>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p>
      <w:pPr>
        <w:pStyle w:val="BodyText"/>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41359"/>
            <wp:effectExtent b="0" l="0" r="0" t="0"/>
            <wp:docPr descr="" title="" id="31" name="Picture"/>
            <a:graphic>
              <a:graphicData uri="http://schemas.openxmlformats.org/drawingml/2006/picture">
                <pic:pic>
                  <pic:nvPicPr>
                    <pic:cNvPr descr="48aca720ae58212471c75599e2aec42942143128722af37b8a84d4fa4074ba94.jpg" id="32" name="Picture"/>
                    <pic:cNvPicPr>
                      <a:picLocks noChangeArrowheads="1" noChangeAspect="1"/>
                    </pic:cNvPicPr>
                  </pic:nvPicPr>
                  <pic:blipFill>
                    <a:blip r:embed="rId30"/>
                    <a:stretch>
                      <a:fillRect/>
                    </a:stretch>
                  </pic:blipFill>
                  <pic:spPr bwMode="auto">
                    <a:xfrm>
                      <a:off x="0" y="0"/>
                      <a:ext cx="2667000" cy="1341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p>
      <w:pPr>
        <w:pStyle w:val="BodyText"/>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71047"/>
            <wp:effectExtent b="0" l="0" r="0" t="0"/>
            <wp:docPr descr="" title="" id="34" name="Picture"/>
            <a:graphic>
              <a:graphicData uri="http://schemas.openxmlformats.org/drawingml/2006/picture">
                <pic:pic>
                  <pic:nvPicPr>
                    <pic:cNvPr descr="594494112bc5e75a1204154453fa4c47c5f7e3f9898777f39face27dd7725882.jpg" id="35" name="Picture"/>
                    <pic:cNvPicPr>
                      <a:picLocks noChangeArrowheads="1" noChangeAspect="1"/>
                    </pic:cNvPicPr>
                  </pic:nvPicPr>
                  <pic:blipFill>
                    <a:blip r:embed="rId33"/>
                    <a:stretch>
                      <a:fillRect/>
                    </a:stretch>
                  </pic:blipFill>
                  <pic:spPr bwMode="auto">
                    <a:xfrm>
                      <a:off x="0" y="0"/>
                      <a:ext cx="2667000" cy="36710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p>
      <w:pPr>
        <w:pStyle w:val="BodyText"/>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可以衍生出极为庞大的无机晶体结构家族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6"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8" name="Picture"/>
            <a:graphic>
              <a:graphicData uri="http://schemas.openxmlformats.org/drawingml/2006/picture">
                <pic:pic>
                  <pic:nvPicPr>
                    <pic:cNvPr descr="842f11610982edb9864434386961e51e51b5018aa78aa559c2fdd3220392d6b8.png" id="39" name="Picture"/>
                    <pic:cNvPicPr>
                      <a:picLocks noChangeArrowheads="1" noChangeAspect="1"/>
                    </pic:cNvPicPr>
                  </pic:nvPicPr>
                  <pic:blipFill>
                    <a:blip r:embed="rId3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p>
      <w:pPr>
        <w:pStyle w:val="BodyText"/>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0245"/>
            <wp:effectExtent b="0" l="0" r="0" t="0"/>
            <wp:docPr descr="" title="" id="41" name="Picture"/>
            <a:graphic>
              <a:graphicData uri="http://schemas.openxmlformats.org/drawingml/2006/picture">
                <pic:pic>
                  <pic:nvPicPr>
                    <pic:cNvPr descr="e87a6a311d6a8d0265b9ba1b6a279b3459e5a3e6c939aec5e6335b3eb8d89ce5.png" id="42" name="Picture"/>
                    <pic:cNvPicPr>
                      <a:picLocks noChangeArrowheads="1" noChangeAspect="1"/>
                    </pic:cNvPicPr>
                  </pic:nvPicPr>
                  <pic:blipFill>
                    <a:blip r:embed="rId40"/>
                    <a:stretch>
                      <a:fillRect/>
                    </a:stretch>
                  </pic:blipFill>
                  <pic:spPr bwMode="auto">
                    <a:xfrm>
                      <a:off x="0" y="0"/>
                      <a:ext cx="2667000" cy="3020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p>
      <w:pPr>
        <w:pStyle w:val="BodyText"/>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8627"/>
            <wp:effectExtent b="0" l="0" r="0" t="0"/>
            <wp:docPr descr="" title="" id="44" name="Picture"/>
            <a:graphic>
              <a:graphicData uri="http://schemas.openxmlformats.org/drawingml/2006/picture">
                <pic:pic>
                  <pic:nvPicPr>
                    <pic:cNvPr descr="04646029f8ad3b0f9b746a9c602ec18904e8e1505a86c2e337957a8e39613a0f.jpg" id="45" name="Picture"/>
                    <pic:cNvPicPr>
                      <a:picLocks noChangeArrowheads="1" noChangeAspect="1"/>
                    </pic:cNvPicPr>
                  </pic:nvPicPr>
                  <pic:blipFill>
                    <a:blip r:embed="rId43"/>
                    <a:stretch>
                      <a:fillRect/>
                    </a:stretch>
                  </pic:blipFill>
                  <pic:spPr bwMode="auto">
                    <a:xfrm>
                      <a:off x="0" y="0"/>
                      <a:ext cx="2667000" cy="2568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p>
      <w:pPr>
        <w:spacing w:before="160" w:after="80"/>
      </w:pPr>
      <w:r>
        <w:pict>
          <v:rect style="width:0;height:1.5pt" o:hralign="center" o:hrstd="t" o:hr="t"/>
        </w:pict>
      </w:r>
    </w:p>
    <w:bookmarkEnd w:id="46"/>
    <w:bookmarkStart w:id="56"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05153"/>
            <wp:effectExtent b="0" l="0" r="0" t="0"/>
            <wp:docPr descr="" title="" id="48" name="Picture"/>
            <a:graphic>
              <a:graphicData uri="http://schemas.openxmlformats.org/drawingml/2006/picture">
                <pic:pic>
                  <pic:nvPicPr>
                    <pic:cNvPr descr="1cf53f30e30d122f4d3acfb62a7e6adddfd6327d673bfd2d7a6949b42d820ed2.png" id="49" name="Picture"/>
                    <pic:cNvPicPr>
                      <a:picLocks noChangeArrowheads="1" noChangeAspect="1"/>
                    </pic:cNvPicPr>
                  </pic:nvPicPr>
                  <pic:blipFill>
                    <a:blip r:embed="rId47"/>
                    <a:stretch>
                      <a:fillRect/>
                    </a:stretch>
                  </pic:blipFill>
                  <pic:spPr bwMode="auto">
                    <a:xfrm>
                      <a:off x="0" y="0"/>
                      <a:ext cx="2667000" cy="3305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p>
      <w:pPr>
        <w:pStyle w:val="BodyText"/>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47148"/>
            <wp:effectExtent b="0" l="0" r="0" t="0"/>
            <wp:docPr descr="" title="" id="51" name="Picture"/>
            <a:graphic>
              <a:graphicData uri="http://schemas.openxmlformats.org/drawingml/2006/picture">
                <pic:pic>
                  <pic:nvPicPr>
                    <pic:cNvPr descr="7fcf16d004e542d2bbbb55838f7d0cd9a7cd50f530160f081b5805a4bcf9ed02.png" id="52" name="Picture"/>
                    <pic:cNvPicPr>
                      <a:picLocks noChangeArrowheads="1" noChangeAspect="1"/>
                    </pic:cNvPicPr>
                  </pic:nvPicPr>
                  <pic:blipFill>
                    <a:blip r:embed="rId50"/>
                    <a:stretch>
                      <a:fillRect/>
                    </a:stretch>
                  </pic:blipFill>
                  <pic:spPr bwMode="auto">
                    <a:xfrm>
                      <a:off x="0" y="0"/>
                      <a:ext cx="2667000" cy="10471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p>
      <w:pPr>
        <w:pStyle w:val="BodyText"/>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03002"/>
            <wp:effectExtent b="0" l="0" r="0" t="0"/>
            <wp:docPr descr="" title="" id="54" name="Picture"/>
            <a:graphic>
              <a:graphicData uri="http://schemas.openxmlformats.org/drawingml/2006/picture">
                <pic:pic>
                  <pic:nvPicPr>
                    <pic:cNvPr descr="2910d7a87d627b692192646acf2155080d3f2f6c397d1d8af509815eaaba4673.png" id="55" name="Picture"/>
                    <pic:cNvPicPr>
                      <a:picLocks noChangeArrowheads="1" noChangeAspect="1"/>
                    </pic:cNvPicPr>
                  </pic:nvPicPr>
                  <pic:blipFill>
                    <a:blip r:embed="rId53"/>
                    <a:stretch>
                      <a:fillRect/>
                    </a:stretch>
                  </pic:blipFill>
                  <pic:spPr bwMode="auto">
                    <a:xfrm>
                      <a:off x="0" y="0"/>
                      <a:ext cx="2667000" cy="100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p>
      <w:pPr>
        <w:pStyle w:val="BodyText"/>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的极为重要的功能晶体材料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58" name="Picture"/>
            <a:graphic>
              <a:graphicData uri="http://schemas.openxmlformats.org/drawingml/2006/picture">
                <pic:pic>
                  <pic:nvPicPr>
                    <pic:cNvPr descr="5c4133ec4e88a13ffec229a3811abb5d7ac1a96f76457a4a73814e67065b762b.png" id="59" name="Picture"/>
                    <pic:cNvPicPr>
                      <a:picLocks noChangeArrowheads="1" noChangeAspect="1"/>
                    </pic:cNvPicPr>
                  </pic:nvPicPr>
                  <pic:blipFill>
                    <a:blip r:embed="rId57"/>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p>
      <w:pPr>
        <w:pStyle w:val="BodyText"/>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9554"/>
            <wp:effectExtent b="0" l="0" r="0" t="0"/>
            <wp:docPr descr="" title="" id="61" name="Picture"/>
            <a:graphic>
              <a:graphicData uri="http://schemas.openxmlformats.org/drawingml/2006/picture">
                <pic:pic>
                  <pic:nvPicPr>
                    <pic:cNvPr descr="86e483b9a8c4f06e2704b81bc0883f2655de6d475c0472b9ef07fd705d6ebd1e.jpg" id="62" name="Picture"/>
                    <pic:cNvPicPr>
                      <a:picLocks noChangeArrowheads="1" noChangeAspect="1"/>
                    </pic:cNvPicPr>
                  </pic:nvPicPr>
                  <pic:blipFill>
                    <a:blip r:embed="rId60"/>
                    <a:stretch>
                      <a:fillRect/>
                    </a:stretch>
                  </pic:blipFill>
                  <pic:spPr bwMode="auto">
                    <a:xfrm>
                      <a:off x="0" y="0"/>
                      <a:ext cx="2667000" cy="2329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p>
      <w:pPr>
        <w:pStyle w:val="BodyText"/>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64" name="Picture"/>
            <a:graphic>
              <a:graphicData uri="http://schemas.openxmlformats.org/drawingml/2006/picture">
                <pic:pic>
                  <pic:nvPicPr>
                    <pic:cNvPr descr="e24689caf3117fe72dc27d03961a30f2e9a41988159b39887b4aa3a15c0ee84c.png" id="65" name="Picture"/>
                    <pic:cNvPicPr>
                      <a:picLocks noChangeArrowheads="1" noChangeAspect="1"/>
                    </pic:cNvPicPr>
                  </pic:nvPicPr>
                  <pic:blipFill>
                    <a:blip r:embed="rId63"/>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p>
      <w:pPr>
        <w:pStyle w:val="BodyText"/>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4558"/>
            <wp:effectExtent b="0" l="0" r="0" t="0"/>
            <wp:docPr descr="" title="" id="67" name="Picture"/>
            <a:graphic>
              <a:graphicData uri="http://schemas.openxmlformats.org/drawingml/2006/picture">
                <pic:pic>
                  <pic:nvPicPr>
                    <pic:cNvPr descr="5ffdf0f9ea2339f07dd11ff7e178215fa2b546e24a2d6efed0ff0c691c9e7ca4.jpg" id="68" name="Picture"/>
                    <pic:cNvPicPr>
                      <a:picLocks noChangeArrowheads="1" noChangeAspect="1"/>
                    </pic:cNvPicPr>
                  </pic:nvPicPr>
                  <pic:blipFill>
                    <a:blip r:embed="rId66"/>
                    <a:stretch>
                      <a:fillRect/>
                    </a:stretch>
                  </pic:blipFill>
                  <pic:spPr bwMode="auto">
                    <a:xfrm>
                      <a:off x="0" y="0"/>
                      <a:ext cx="2667000" cy="25645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p>
      <w:pPr>
        <w:spacing w:before="160" w:after="80"/>
      </w:pPr>
      <w:r>
        <w:pict>
          <v:rect style="width:0;height:1.5pt" o:hralign="center" o:hrstd="t" o:hr="t"/>
        </w:pict>
      </w:r>
    </w:p>
    <w:bookmarkEnd w:id="69"/>
    <w:bookmarkStart w:id="82"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91272"/>
            <wp:effectExtent b="0" l="0" r="0" t="0"/>
            <wp:docPr descr="" title="" id="71" name="Picture"/>
            <a:graphic>
              <a:graphicData uri="http://schemas.openxmlformats.org/drawingml/2006/picture">
                <pic:pic>
                  <pic:nvPicPr>
                    <pic:cNvPr descr="02869de87e7b75f8c36fe21ad2f282e931f32c330b6fdbefc187835732d69830.jpg" id="72" name="Picture"/>
                    <pic:cNvPicPr>
                      <a:picLocks noChangeArrowheads="1" noChangeAspect="1"/>
                    </pic:cNvPicPr>
                  </pic:nvPicPr>
                  <pic:blipFill>
                    <a:blip r:embed="rId70"/>
                    <a:stretch>
                      <a:fillRect/>
                    </a:stretch>
                  </pic:blipFill>
                  <pic:spPr bwMode="auto">
                    <a:xfrm>
                      <a:off x="0" y="0"/>
                      <a:ext cx="2667000" cy="1491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p>
      <w:pPr>
        <w:pStyle w:val="BodyText"/>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516"/>
            <wp:effectExtent b="0" l="0" r="0" t="0"/>
            <wp:docPr descr="" title="" id="74" name="Picture"/>
            <a:graphic>
              <a:graphicData uri="http://schemas.openxmlformats.org/drawingml/2006/picture">
                <pic:pic>
                  <pic:nvPicPr>
                    <pic:cNvPr descr="a1f90ee389862a118b51c32ba3fdcd3ddecabb2acbc4916447aa7ac5d0d071bc.jpg" id="75" name="Picture"/>
                    <pic:cNvPicPr>
                      <a:picLocks noChangeArrowheads="1" noChangeAspect="1"/>
                    </pic:cNvPicPr>
                  </pic:nvPicPr>
                  <pic:blipFill>
                    <a:blip r:embed="rId73"/>
                    <a:stretch>
                      <a:fillRect/>
                    </a:stretch>
                  </pic:blipFill>
                  <pic:spPr bwMode="auto">
                    <a:xfrm>
                      <a:off x="0" y="0"/>
                      <a:ext cx="2667000" cy="26205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p>
      <w:pPr>
        <w:pStyle w:val="BodyText"/>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562"/>
            <wp:effectExtent b="0" l="0" r="0" t="0"/>
            <wp:docPr descr="" title="" id="77" name="Picture"/>
            <a:graphic>
              <a:graphicData uri="http://schemas.openxmlformats.org/drawingml/2006/picture">
                <pic:pic>
                  <pic:nvPicPr>
                    <pic:cNvPr descr="3b8263233fca68b4307a73bdb1e870a1a8d7c74378c357c93900bbb6df89d373.jpg" id="78" name="Picture"/>
                    <pic:cNvPicPr>
                      <a:picLocks noChangeArrowheads="1" noChangeAspect="1"/>
                    </pic:cNvPicPr>
                  </pic:nvPicPr>
                  <pic:blipFill>
                    <a:blip r:embed="rId76"/>
                    <a:stretch>
                      <a:fillRect/>
                    </a:stretch>
                  </pic:blipFill>
                  <pic:spPr bwMode="auto">
                    <a:xfrm>
                      <a:off x="0" y="0"/>
                      <a:ext cx="2667000" cy="9295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p>
      <w:pPr>
        <w:pStyle w:val="BodyText"/>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30129"/>
            <wp:effectExtent b="0" l="0" r="0" t="0"/>
            <wp:docPr descr="" title="" id="80" name="Picture"/>
            <a:graphic>
              <a:graphicData uri="http://schemas.openxmlformats.org/drawingml/2006/picture">
                <pic:pic>
                  <pic:nvPicPr>
                    <pic:cNvPr descr="601b8f30a8e6a3f6f311cdc563b56b3c405716e01ce2a119945d972358349703.jpg" id="81" name="Picture"/>
                    <pic:cNvPicPr>
                      <a:picLocks noChangeArrowheads="1" noChangeAspect="1"/>
                    </pic:cNvPicPr>
                  </pic:nvPicPr>
                  <pic:blipFill>
                    <a:blip r:embed="rId79"/>
                    <a:stretch>
                      <a:fillRect/>
                    </a:stretch>
                  </pic:blipFill>
                  <pic:spPr bwMode="auto">
                    <a:xfrm>
                      <a:off x="0" y="0"/>
                      <a:ext cx="2667000" cy="730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p>
      <w:pPr>
        <w:spacing w:before="160" w:after="80"/>
      </w:pPr>
      <w:r>
        <w:pict>
          <v:rect style="width:0;height:1.5pt" o:hralign="center" o:hrstd="t" o:hr="t"/>
        </w:pict>
      </w:r>
    </w:p>
    <w:bookmarkEnd w:id="82"/>
    <w:bookmarkStart w:id="89"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2520000" cy="4088436"/>
            <wp:effectExtent b="0" l="0" r="0" t="0"/>
            <wp:docPr descr="" title="" id="84" name="Picture"/>
            <a:graphic>
              <a:graphicData uri="http://schemas.openxmlformats.org/drawingml/2006/picture">
                <pic:pic>
                  <pic:nvPicPr>
                    <pic:cNvPr descr="47ac0d68be9bfc33eb926fb27aa4daa26fffc12dc986382e3b1351f2d5fd2162.jpg" id="85" name="Picture"/>
                    <pic:cNvPicPr>
                      <a:picLocks noChangeArrowheads="1" noChangeAspect="1"/>
                    </pic:cNvPicPr>
                  </pic:nvPicPr>
                  <pic:blipFill>
                    <a:blip r:embed="rId83"/>
                    <a:stretch>
                      <a:fillRect/>
                    </a:stretch>
                  </pic:blipFill>
                  <pic:spPr bwMode="auto">
                    <a:xfrm>
                      <a:off x="0" y="0"/>
                      <a:ext cx="2520000" cy="40884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p>
      <w:pPr>
        <w:pStyle w:val="BodyText"/>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52351"/>
            <wp:effectExtent b="0" l="0" r="0" t="0"/>
            <wp:docPr descr="" title="" id="87" name="Picture"/>
            <a:graphic>
              <a:graphicData uri="http://schemas.openxmlformats.org/drawingml/2006/picture">
                <pic:pic>
                  <pic:nvPicPr>
                    <pic:cNvPr descr="fe5ab29705422af1d1802bfc597661758edc2f7db9b554a062b8a09d43dfd8cd.jpg" id="88" name="Picture"/>
                    <pic:cNvPicPr>
                      <a:picLocks noChangeArrowheads="1" noChangeAspect="1"/>
                    </pic:cNvPicPr>
                  </pic:nvPicPr>
                  <pic:blipFill>
                    <a:blip r:embed="rId86"/>
                    <a:stretch>
                      <a:fillRect/>
                    </a:stretch>
                  </pic:blipFill>
                  <pic:spPr bwMode="auto">
                    <a:xfrm>
                      <a:off x="0" y="0"/>
                      <a:ext cx="2667000" cy="2852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p>
      <w:pPr>
        <w:spacing w:before="160" w:after="80"/>
      </w:pPr>
      <w:r>
        <w:pict>
          <v:rect style="width:0;height:1.5pt" o:hralign="center" o:hrstd="t" o:hr="t"/>
        </w:pict>
      </w:r>
    </w:p>
    <w:bookmarkEnd w:id="89"/>
    <w:bookmarkStart w:id="93"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p>
      <w:pPr>
        <w:pStyle w:val="BodyText"/>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赛场高频失分命题陷阱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在无机与结构化学竞赛的高强度竞技环境下</w:t>
      </w:r>
      <w:r>
        <w:rPr>
          <w:rFonts w:hint="eastAsia" w:ascii="Times New Roman" w:hAnsi="Times New Roman" w:eastAsia="Times New Roman" w:cs="Times New Roman"/>
        </w:rPr>
        <w:t>，</w:t>
      </w:r>
      <w:r>
        <w:rPr>
          <w:rFonts w:hint="eastAsia" w:ascii="Times New Roman" w:hAnsi="Times New Roman" w:eastAsia="FangSong" w:cs="Times New Roman"/>
        </w:rPr>
        <w:t>面对复杂晶体结构与衍射缺陷题</w:t>
      </w:r>
      <w:r>
        <w:rPr>
          <w:rFonts w:hint="eastAsia" w:ascii="Times New Roman" w:hAnsi="Times New Roman" w:eastAsia="Times New Roman" w:cs="Times New Roman"/>
        </w:rPr>
        <w:t>，</w:t>
      </w:r>
      <w:r>
        <w:rPr>
          <w:rFonts w:hint="eastAsia" w:ascii="Times New Roman" w:hAnsi="Times New Roman" w:eastAsia="FangSong" w:cs="Times New Roman"/>
        </w:rPr>
        <w:t>选手极易在以下八大高频陷阱处产生逻辑溃败与失分</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倒易消光与空间群消光层级混淆</w:t>
      </w:r>
      <w:r>
        <w:rPr>
          <w:rFonts w:hint="eastAsia" w:ascii="Times New Roman" w:hAnsi="Times New Roman" w:eastAsia="Times New Roman" w:cs="Times New Roman"/>
        </w:rPr>
        <w:t>：</w:t>
      </w:r>
      <w:r>
        <w:rPr>
          <w:rFonts w:hint="eastAsia" w:ascii="Times New Roman" w:hAnsi="Times New Roman" w:eastAsia="FangSong" w:cs="Times New Roman"/>
        </w:rPr>
        <w:t>误将点阵消光</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奇数消光</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的奇偶混杂消光</w:t>
      </w:r>
      <w:r>
        <w:rPr>
          <w:rFonts w:hint="eastAsia" w:ascii="Times New Roman" w:hAnsi="Times New Roman" w:eastAsia="Times New Roman" w:cs="Times New Roman"/>
        </w:rPr>
        <w:t>）</w:t>
      </w:r>
      <w:r>
        <w:rPr>
          <w:rFonts w:hint="eastAsia" w:ascii="Times New Roman" w:hAnsi="Times New Roman" w:eastAsia="FangSong" w:cs="Times New Roman"/>
        </w:rPr>
        <w:t>与微观对称元素导致的消光</w:t>
      </w:r>
      <w:r>
        <w:rPr>
          <w:rFonts w:hint="eastAsia" w:ascii="Times New Roman" w:hAnsi="Times New Roman" w:eastAsia="Times New Roman" w:cs="Times New Roman"/>
        </w:rPr>
        <w:t>（</w:t>
      </w:r>
      <w:r>
        <w:rPr>
          <w:rFonts w:hint="eastAsia" w:ascii="Times New Roman" w:hAnsi="Times New Roman" w:eastAsia="FangSong" w:cs="Times New Roman"/>
        </w:rPr>
        <w:t>如螺旋轴的一维消光</w:t>
      </w:r>
      <w:r>
        <w:rPr>
          <w:rFonts w:hint="eastAsia" w:ascii="Times New Roman" w:hAnsi="Times New Roman" w:eastAsia="Times New Roman" w:cs="Times New Roman"/>
        </w:rPr>
        <w:t>、</w:t>
      </w:r>
      <w:r>
        <w:rPr>
          <w:rFonts w:hint="eastAsia" w:ascii="Times New Roman" w:hAnsi="Times New Roman" w:eastAsia="FangSong" w:cs="Times New Roman"/>
        </w:rPr>
        <w:t>滑移面的二维晶面消光</w:t>
      </w:r>
      <w:r>
        <w:rPr>
          <w:rFonts w:hint="eastAsia" w:ascii="Times New Roman" w:hAnsi="Times New Roman" w:eastAsia="Times New Roman" w:cs="Times New Roman"/>
        </w:rPr>
        <w:t>）</w:t>
      </w:r>
      <w:r>
        <w:rPr>
          <w:rFonts w:hint="eastAsia" w:ascii="Times New Roman" w:hAnsi="Times New Roman" w:eastAsia="FangSong" w:cs="Times New Roman"/>
        </w:rPr>
        <w:t>混为一谈</w:t>
      </w:r>
      <w:r>
        <w:rPr>
          <w:rFonts w:hint="eastAsia" w:ascii="Times New Roman" w:hAnsi="Times New Roman" w:eastAsia="Times New Roman" w:cs="Times New Roman"/>
        </w:rPr>
        <w:t>。</w:t>
      </w:r>
      <w:r>
        <w:rPr>
          <w:rFonts w:hint="eastAsia" w:ascii="Times New Roman" w:hAnsi="Times New Roman" w:eastAsia="FangSong" w:cs="Times New Roman"/>
        </w:rPr>
        <w:t>必须牢记点阵消光对三维倒易空间所有晶面具有全局排他性</w:t>
      </w:r>
      <w:r>
        <w:rPr>
          <w:rFonts w:hint="eastAsia" w:ascii="Times New Roman" w:hAnsi="Times New Roman" w:eastAsia="Times New Roman" w:cs="Times New Roman"/>
        </w:rPr>
        <w:t>，</w:t>
      </w:r>
      <w:r>
        <w:rPr>
          <w:rFonts w:hint="eastAsia" w:ascii="Times New Roman" w:hAnsi="Times New Roman" w:eastAsia="FangSong" w:cs="Times New Roman"/>
        </w:rPr>
        <w:t>而滑移面消光仅对特定指数切面有效</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粉末衍射平方和序列中特定数字缺失盲区</w:t>
      </w:r>
      <w:r>
        <w:rPr>
          <w:rFonts w:hint="eastAsia" w:ascii="Times New Roman" w:hAnsi="Times New Roman" w:eastAsia="Times New Roman" w:cs="Times New Roman"/>
        </w:rPr>
        <w:t>：</w:t>
      </w:r>
      <w:r>
        <w:rPr>
          <w:rFonts w:hint="eastAsia" w:ascii="Times New Roman" w:hAnsi="Times New Roman" w:eastAsia="FangSong" w:cs="Times New Roman"/>
        </w:rPr>
        <w:t>在利用</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比值判定简单立方点阵时</w:t>
      </w:r>
      <w:r>
        <w:rPr>
          <w:rFonts w:hint="eastAsia" w:ascii="Times New Roman" w:hAnsi="Times New Roman" w:eastAsia="Times New Roman" w:cs="Times New Roman"/>
        </w:rPr>
        <w:t>，</w:t>
      </w:r>
      <w:r>
        <w:rPr>
          <w:rFonts w:hint="eastAsia" w:ascii="Times New Roman" w:hAnsi="Times New Roman" w:eastAsia="FangSong" w:cs="Times New Roman"/>
        </w:rPr>
        <w:t>忘记了</w:t>
      </w:r>
      <w:r>
        <w:rPr>
          <w:rFonts w:ascii="Times New Roman" w:hAnsi="Times New Roman" w:eastAsia="Times New Roman" w:cs="Times New Roman"/>
        </w:rPr>
        <w:t xml:space="preserve"> </w:t>
      </w:r>
      <m:oMath>
        <m:oMathPr>
          <m:ctrlPr>
            <w:rPr>
              <w:sz w:val="28"/>
              <w:szCs w:val="28"/>
            </w:rPr>
          </m:ctrlPr>
        </m:oMathPr>
        <m:r>
          <m:t>7</m:t>
        </m:r>
        <m:r>
          <m:rPr>
            <m:sty m:val="p"/>
          </m:rPr>
          <m:t>,</m:t>
        </m:r>
        <m:r>
          <m:t>15</m:t>
        </m:r>
        <m:r>
          <m:rPr>
            <m:sty m:val="p"/>
          </m:rPr>
          <m:t>,</m:t>
        </m:r>
        <m:r>
          <m:t>23</m:t>
        </m:r>
        <m:r>
          <m:rPr>
            <m:sty m:val="p"/>
          </m:rPr>
          <m:t>,</m:t>
        </m:r>
        <m:r>
          <m:t>28</m:t>
        </m:r>
        <m:r>
          <m:rPr>
            <m:sty m:val="p"/>
          </m:rPr>
          <m:t>,</m:t>
        </m:r>
        <m:r>
          <m:t>31</m:t>
        </m:r>
      </m:oMath>
      <w:r>
        <w:rPr>
          <w:rFonts w:ascii="Times New Roman" w:hAnsi="Times New Roman" w:eastAsia="Times New Roman" w:cs="Times New Roman"/>
        </w:rPr>
        <w:t xml:space="preserve"> </w:t>
      </w:r>
      <w:r>
        <w:rPr>
          <w:rFonts w:hint="eastAsia" w:ascii="Times New Roman" w:hAnsi="Times New Roman" w:eastAsia="FangSong" w:cs="Times New Roman"/>
        </w:rPr>
        <w:t>等正整数根本无法由三个整数平方和相加构成</w:t>
      </w:r>
      <w:r>
        <w:rPr>
          <w:rFonts w:hint="eastAsia" w:ascii="Times New Roman" w:hAnsi="Times New Roman" w:eastAsia="Times New Roman" w:cs="Times New Roman"/>
        </w:rPr>
        <w:t>，</w:t>
      </w:r>
      <w:r>
        <w:rPr>
          <w:rFonts w:hint="eastAsia" w:ascii="Times New Roman" w:hAnsi="Times New Roman" w:eastAsia="FangSong" w:cs="Times New Roman"/>
        </w:rPr>
        <w:t>错误地将实验数据中自然跳过</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处的正常间隔误判为高对称消光点阵</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hcp </w:t>
      </w:r>
      <w:r>
        <w:rPr>
          <w:rFonts w:hint="eastAsia" w:ascii="Times New Roman" w:hAnsi="Times New Roman" w:eastAsia="FangSong" w:cs="Times New Roman"/>
          <w:b/>
          <w:bCs/>
        </w:rPr>
        <w:t xml:space="preserve">轴比与刚球相切几何刚性绑定</w:t>
      </w:r>
      <w:r>
        <w:rPr>
          <w:rFonts w:hint="eastAsia" w:ascii="Times New Roman" w:hAnsi="Times New Roman" w:eastAsia="Times New Roman" w:cs="Times New Roman"/>
        </w:rPr>
        <w:t>：</w:t>
      </w:r>
      <w:r>
        <w:rPr>
          <w:rFonts w:hint="eastAsia" w:ascii="Times New Roman" w:hAnsi="Times New Roman" w:eastAsia="FangSong" w:cs="Times New Roman"/>
        </w:rPr>
        <w:t>在处理实际金属单质或二元六方晶体时</w:t>
      </w:r>
      <w:r>
        <w:rPr>
          <w:rFonts w:hint="eastAsia" w:ascii="Times New Roman" w:hAnsi="Times New Roman" w:eastAsia="Times New Roman" w:cs="Times New Roman"/>
        </w:rPr>
        <w:t>，</w:t>
      </w:r>
      <w:r>
        <w:rPr>
          <w:rFonts w:hint="eastAsia" w:ascii="Times New Roman" w:hAnsi="Times New Roman" w:eastAsia="FangSong" w:cs="Times New Roman"/>
        </w:rPr>
        <w:t>机械套用理想六方密堆的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 </w:t>
      </w:r>
      <w:r>
        <w:rPr>
          <w:rFonts w:hint="eastAsia" w:ascii="Times New Roman" w:hAnsi="Times New Roman" w:eastAsia="FangSong" w:cs="Times New Roman"/>
        </w:rPr>
        <w:t>进行理论计算</w:t>
      </w:r>
      <w:r>
        <w:rPr>
          <w:rFonts w:hint="eastAsia" w:ascii="Times New Roman" w:hAnsi="Times New Roman" w:eastAsia="Times New Roman" w:cs="Times New Roman"/>
        </w:rPr>
        <w:t>，</w:t>
      </w:r>
      <w:r>
        <w:rPr>
          <w:rFonts w:hint="eastAsia" w:ascii="Times New Roman" w:hAnsi="Times New Roman" w:eastAsia="FangSong" w:cs="Times New Roman"/>
        </w:rPr>
        <w:t>完全忽视题干给定的实际实测晶胞参数</w:t>
      </w:r>
      <w:r>
        <w:rPr>
          <w:rFonts w:hint="eastAsia" w:ascii="Times New Roman" w:hAnsi="Times New Roman" w:eastAsia="Times New Roman" w:cs="Times New Roman"/>
        </w:rPr>
        <w:t>，</w:t>
      </w:r>
      <w:r>
        <w:rPr>
          <w:rFonts w:hint="eastAsia" w:ascii="Times New Roman" w:hAnsi="Times New Roman" w:eastAsia="FangSong" w:cs="Times New Roman"/>
        </w:rPr>
        <w:t>导致晶胞体积</w:t>
      </w:r>
      <w:r>
        <w:rPr>
          <w:rFonts w:hint="eastAsia" w:ascii="Times New Roman" w:hAnsi="Times New Roman" w:eastAsia="Times New Roman" w:cs="Times New Roman"/>
        </w:rPr>
        <w:t>、</w:t>
      </w:r>
      <w:r>
        <w:rPr>
          <w:rFonts w:hint="eastAsia" w:ascii="Times New Roman" w:hAnsi="Times New Roman" w:eastAsia="FangSong" w:cs="Times New Roman"/>
        </w:rPr>
        <w:t>配位数与密度的计算产生系统性偏差</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尖晶石配位多面体空隙占有率混淆</w:t>
      </w:r>
      <w:r>
        <w:rPr>
          <w:rFonts w:hint="eastAsia" w:ascii="Times New Roman" w:hAnsi="Times New Roman" w:eastAsia="Times New Roman" w:cs="Times New Roman"/>
        </w:rPr>
        <w:t>：</w:t>
      </w:r>
      <w:r>
        <w:rPr>
          <w:rFonts w:hint="eastAsia" w:ascii="Times New Roman" w:hAnsi="Times New Roman" w:eastAsia="FangSong" w:cs="Times New Roman"/>
        </w:rPr>
        <w:t>在计算尖晶石晶胞内阳离子填充率时</w:t>
      </w:r>
      <w:r>
        <w:rPr>
          <w:rFonts w:hint="eastAsia" w:ascii="Times New Roman" w:hAnsi="Times New Roman" w:eastAsia="Times New Roman" w:cs="Times New Roman"/>
        </w:rPr>
        <w:t>，</w:t>
      </w:r>
      <w:r>
        <w:rPr>
          <w:rFonts w:hint="eastAsia" w:ascii="Times New Roman" w:hAnsi="Times New Roman" w:eastAsia="FangSong" w:cs="Times New Roman"/>
        </w:rPr>
        <w:t>常常把四面体空隙总数</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与八面体空隙总数</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记反</w:t>
      </w:r>
      <w:r>
        <w:rPr>
          <w:rFonts w:hint="eastAsia" w:ascii="Times New Roman" w:hAnsi="Times New Roman" w:eastAsia="Times New Roman" w:cs="Times New Roman"/>
        </w:rPr>
        <w:t>，</w:t>
      </w:r>
      <w:r>
        <w:rPr>
          <w:rFonts w:hint="eastAsia" w:ascii="Times New Roman" w:hAnsi="Times New Roman" w:eastAsia="FangSong" w:cs="Times New Roman"/>
        </w:rPr>
        <w:t>或者误以为正尖晶石中</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占有了所有四面体空隙</w:t>
      </w:r>
      <w:r>
        <w:rPr>
          <w:rFonts w:hint="eastAsia" w:ascii="Times New Roman" w:hAnsi="Times New Roman" w:eastAsia="Times New Roman" w:cs="Times New Roman"/>
        </w:rPr>
        <w:t>，</w:t>
      </w:r>
      <w:r>
        <w:rPr>
          <w:rFonts w:hint="eastAsia" w:ascii="Times New Roman" w:hAnsi="Times New Roman" w:eastAsia="FangSong" w:cs="Times New Roman"/>
        </w:rPr>
        <w:t>而实际上仅占有了其</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钙钛矿容差因子分子分母半径加和倒置</w:t>
      </w:r>
      <w:r>
        <w:rPr>
          <w:rFonts w:hint="eastAsia" w:ascii="Times New Roman" w:hAnsi="Times New Roman" w:eastAsia="Times New Roman" w:cs="Times New Roman"/>
        </w:rPr>
        <w:t>：</w:t>
      </w:r>
      <w:r>
        <w:rPr>
          <w:rFonts w:hint="eastAsia" w:ascii="Times New Roman" w:hAnsi="Times New Roman" w:eastAsia="FangSong" w:cs="Times New Roman"/>
        </w:rPr>
        <w:t>在计算</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将面对角线的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离子半径加和写在分母</w:t>
      </w:r>
      <w:r>
        <w:rPr>
          <w:rFonts w:hint="eastAsia" w:ascii="Times New Roman" w:hAnsi="Times New Roman" w:eastAsia="Times New Roman" w:cs="Times New Roman"/>
        </w:rPr>
        <w:t>，</w:t>
      </w:r>
      <w:r>
        <w:rPr>
          <w:rFonts w:hint="eastAsia" w:ascii="Times New Roman" w:hAnsi="Times New Roman" w:eastAsia="FangSong" w:cs="Times New Roman"/>
        </w:rPr>
        <w:t>或将棱边的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离子半径漏乘</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导致判定八面体倾斜旋转的临界值完全颠倒</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RP </w:t>
      </w:r>
      <w:r>
        <w:rPr>
          <w:rFonts w:hint="eastAsia" w:ascii="Times New Roman" w:hAnsi="Times New Roman" w:eastAsia="FangSong" w:cs="Times New Roman"/>
          <w:b/>
          <w:bCs/>
        </w:rPr>
        <w:t xml:space="preserve">相同系物层数参数与化学式比例错位</w:t>
      </w:r>
      <w:r>
        <w:rPr>
          <w:rFonts w:hint="eastAsia" w:ascii="Times New Roman" w:hAnsi="Times New Roman" w:eastAsia="Times New Roman" w:cs="Times New Roman"/>
        </w:rPr>
        <w:t>：</w:t>
      </w:r>
      <w:r>
        <w:rPr>
          <w:rFonts w:hint="eastAsia" w:ascii="Times New Roman" w:hAnsi="Times New Roman" w:eastAsia="FangSong" w:cs="Times New Roman"/>
        </w:rPr>
        <w:t>在书写</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误认为是晶胞中全部八面体总数</w:t>
      </w:r>
      <w:r>
        <w:rPr>
          <w:rFonts w:hint="eastAsia" w:ascii="Times New Roman" w:hAnsi="Times New Roman" w:eastAsia="Times New Roman" w:cs="Times New Roman"/>
        </w:rPr>
        <w:t>，</w:t>
      </w:r>
      <w:r>
        <w:rPr>
          <w:rFonts w:hint="eastAsia" w:ascii="Times New Roman" w:hAnsi="Times New Roman" w:eastAsia="FangSong" w:cs="Times New Roman"/>
        </w:rPr>
        <w:t>忽视了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仅仅代表单个钙钛矿板坯厚度</w:t>
      </w:r>
      <w:r>
        <w:rPr>
          <w:rFonts w:hint="eastAsia" w:ascii="Times New Roman" w:hAnsi="Times New Roman" w:eastAsia="Times New Roman" w:cs="Times New Roman"/>
        </w:rPr>
        <w:t>，</w:t>
      </w:r>
      <w:r>
        <w:rPr>
          <w:rFonts w:hint="eastAsia" w:ascii="Times New Roman" w:hAnsi="Times New Roman" w:eastAsia="FangSong" w:cs="Times New Roman"/>
        </w:rPr>
        <w:t>导致由化学计量比推算层数时发生整数量级错误</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YBCO </w:t>
      </w:r>
      <w:r>
        <w:rPr>
          <w:rFonts w:hint="eastAsia" w:ascii="Times New Roman" w:hAnsi="Times New Roman" w:eastAsia="FangSong" w:cs="Times New Roman"/>
          <w:b/>
          <w:bCs/>
        </w:rPr>
        <w:t xml:space="preserve">晶胞氧空位空间取向对称性忽视</w:t>
      </w:r>
      <w:r>
        <w:rPr>
          <w:rFonts w:hint="eastAsia" w:ascii="Times New Roman" w:hAnsi="Times New Roman" w:eastAsia="Times New Roman" w:cs="Times New Roman"/>
        </w:rPr>
        <w:t>：</w:t>
      </w:r>
      <w:r>
        <w:rPr>
          <w:rFonts w:hint="eastAsia" w:ascii="Times New Roman" w:hAnsi="Times New Roman" w:eastAsia="FangSong" w:cs="Times New Roman"/>
        </w:rPr>
        <w:t>误以为</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层面内的氧原子是各向同性随机分布的</w:t>
      </w:r>
      <w:r>
        <w:rPr>
          <w:rFonts w:hint="eastAsia" w:ascii="Times New Roman" w:hAnsi="Times New Roman" w:eastAsia="Times New Roman" w:cs="Times New Roman"/>
        </w:rPr>
        <w:t>，</w:t>
      </w:r>
      <w:r>
        <w:rPr>
          <w:rFonts w:hint="eastAsia" w:ascii="Times New Roman" w:hAnsi="Times New Roman" w:eastAsia="FangSong" w:cs="Times New Roman"/>
        </w:rPr>
        <w:t>从而误将正交相算成立方相</w:t>
      </w:r>
      <w:r>
        <w:rPr>
          <w:rFonts w:hint="eastAsia" w:ascii="Times New Roman" w:hAnsi="Times New Roman" w:eastAsia="Times New Roman" w:cs="Times New Roman"/>
        </w:rPr>
        <w:t>；</w:t>
      </w:r>
      <w:r>
        <w:rPr>
          <w:rFonts w:hint="eastAsia" w:ascii="Times New Roman" w:hAnsi="Times New Roman" w:eastAsia="FangSong" w:cs="Times New Roman"/>
        </w:rPr>
        <w:t>或误以为</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层面含有氧原子</w:t>
      </w:r>
      <w:r>
        <w:rPr>
          <w:rFonts w:hint="eastAsia" w:ascii="Times New Roman" w:hAnsi="Times New Roman" w:eastAsia="Times New Roman" w:cs="Times New Roman"/>
        </w:rPr>
        <w:t>，</w:t>
      </w:r>
      <w:r>
        <w:rPr>
          <w:rFonts w:hint="eastAsia" w:ascii="Times New Roman" w:hAnsi="Times New Roman" w:eastAsia="FangSong" w:cs="Times New Roman"/>
        </w:rPr>
        <w:t>导致铜离子的平均形式氧化态与超导空穴浓度计算全盘皆错</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Kröger-Vink </w:t>
      </w:r>
      <w:r>
        <w:rPr>
          <w:rFonts w:hint="eastAsia" w:ascii="Times New Roman" w:hAnsi="Times New Roman" w:eastAsia="FangSong" w:cs="Times New Roman"/>
          <w:b/>
          <w:bCs/>
        </w:rPr>
        <w:t xml:space="preserve">符号相对电荷与绝对氧化态混淆</w:t>
      </w:r>
      <w:r>
        <w:rPr>
          <w:rFonts w:hint="eastAsia" w:ascii="Times New Roman" w:hAnsi="Times New Roman" w:eastAsia="Times New Roman" w:cs="Times New Roman"/>
        </w:rPr>
        <w:t>：</w:t>
      </w:r>
      <w:r>
        <w:rPr>
          <w:rFonts w:hint="eastAsia" w:ascii="Times New Roman" w:hAnsi="Times New Roman" w:eastAsia="FangSong" w:cs="Times New Roman"/>
        </w:rPr>
        <w:t>将缺陷化学式中的有效电荷</w:t>
      </w:r>
      <w:r>
        <w:rPr>
          <w:rFonts w:hint="eastAsia" w:ascii="Times New Roman" w:hAnsi="Times New Roman" w:eastAsia="Times New Roman" w:cs="Times New Roman"/>
        </w:rPr>
        <w:t>（</w:t>
      </w:r>
      <w:r>
        <w:rPr>
          <w:rFonts w:hint="eastAsia" w:ascii="Times New Roman" w:hAnsi="Times New Roman" w:eastAsia="FangSong" w:cs="Times New Roman"/>
        </w:rPr>
        <w:t>相对于纯净晶格的偏差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带有两单位负有效电荷</w:t>
      </w:r>
      <w:r>
        <w:rPr>
          <w:rFonts w:hint="eastAsia" w:ascii="Times New Roman" w:hAnsi="Times New Roman" w:eastAsia="Times New Roman" w:cs="Times New Roman"/>
        </w:rPr>
        <w:t>）</w:t>
      </w:r>
      <w:r>
        <w:rPr>
          <w:rFonts w:hint="eastAsia" w:ascii="Times New Roman" w:hAnsi="Times New Roman" w:eastAsia="FangSong" w:cs="Times New Roman"/>
        </w:rPr>
        <w:t>机械地与自由离子的绝对化合价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导致在列写晶格全电中性守恒方程时电荷符号与系数成倍混乱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jpg"/><Relationship Id="rId43" Type="http://schemas.openxmlformats.org/officeDocument/2006/relationships/image" Target="media/rId43.jpg"/><Relationship Id="rId90" Type="http://schemas.openxmlformats.org/officeDocument/2006/relationships/image" Target="media/rId90.png"/><Relationship Id="rId47" Type="http://schemas.openxmlformats.org/officeDocument/2006/relationships/image" Target="media/rId47.png"/><Relationship Id="rId53" Type="http://schemas.openxmlformats.org/officeDocument/2006/relationships/image" Target="media/rId53.png"/><Relationship Id="rId76" Type="http://schemas.openxmlformats.org/officeDocument/2006/relationships/image" Target="media/rId76.jpg"/><Relationship Id="rId83" Type="http://schemas.openxmlformats.org/officeDocument/2006/relationships/image" Target="media/rId83.jpg"/><Relationship Id="rId30" Type="http://schemas.openxmlformats.org/officeDocument/2006/relationships/image" Target="media/rId30.jpg"/><Relationship Id="rId10" Type="http://schemas.openxmlformats.org/officeDocument/2006/relationships/image" Target="media/rId10.png"/><Relationship Id="rId33" Type="http://schemas.openxmlformats.org/officeDocument/2006/relationships/image" Target="media/rId33.jpg"/><Relationship Id="rId57" Type="http://schemas.openxmlformats.org/officeDocument/2006/relationships/image" Target="media/rId57.png"/><Relationship Id="rId66" Type="http://schemas.openxmlformats.org/officeDocument/2006/relationships/image" Target="media/rId66.jpg"/><Relationship Id="rId79" Type="http://schemas.openxmlformats.org/officeDocument/2006/relationships/image" Target="media/rId79.jpg"/><Relationship Id="rId20" Type="http://schemas.openxmlformats.org/officeDocument/2006/relationships/image" Target="media/rId20.png"/><Relationship Id="rId50" Type="http://schemas.openxmlformats.org/officeDocument/2006/relationships/image" Target="media/rId50.png"/><Relationship Id="rId37" Type="http://schemas.openxmlformats.org/officeDocument/2006/relationships/image" Target="media/rId37.png"/><Relationship Id="rId60" Type="http://schemas.openxmlformats.org/officeDocument/2006/relationships/image" Target="media/rId60.jpg"/><Relationship Id="rId16" Type="http://schemas.openxmlformats.org/officeDocument/2006/relationships/image" Target="media/rId16.png"/><Relationship Id="rId26" Type="http://schemas.openxmlformats.org/officeDocument/2006/relationships/image" Target="media/rId26.png"/><Relationship Id="rId73" Type="http://schemas.openxmlformats.org/officeDocument/2006/relationships/image" Target="media/rId73.jpg"/><Relationship Id="rId23" Type="http://schemas.openxmlformats.org/officeDocument/2006/relationships/image" Target="media/rId23.png"/><Relationship Id="rId63" Type="http://schemas.openxmlformats.org/officeDocument/2006/relationships/image" Target="media/rId63.png"/><Relationship Id="rId40" Type="http://schemas.openxmlformats.org/officeDocument/2006/relationships/image" Target="media/rId40.png"/><Relationship Id="rId13" Type="http://schemas.openxmlformats.org/officeDocument/2006/relationships/image" Target="media/rId13.png"/><Relationship Id="rId86" Type="http://schemas.openxmlformats.org/officeDocument/2006/relationships/image" Target="media/rId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2026-09-29T03:15:04Z</dcterms:created>
  <dcterms:modified xsi:type="dcterms:W3CDTF">2026-09-29T03:15:04Z</dcterms:modified>
</cp:coreProperties>
</file>

<file path=docProps/custom.xml><?xml version="1.0" encoding="utf-8"?>
<Properties xmlns="http://schemas.openxmlformats.org/officeDocument/2006/custom-properties" xmlns:vt="http://schemas.openxmlformats.org/officeDocument/2006/docPropsVTypes"/>
</file>