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点群判定与特征标</w:t>
            </w:r>
          </w:p>
        </w:tc>
        <w:tc>
          <w:tcPr/>
          <w:p>
            <w:pPr>
              <w:pStyle w:val="Compact"/>
              <w:jc w:val="center"/>
            </w:pPr>
            <w:r>
              <w:rPr>
                <w:rFonts w:hint="eastAsia" w:ascii="Times New Roman" w:hAnsi="Times New Roman" w:eastAsia="FangSong" w:cs="Times New Roman"/>
              </w:rPr>
              <w:t>系统判定配合物骨架点群</w:t>
            </w:r>
            <w:r>
              <w:rPr>
                <w:rFonts w:hint="eastAsia" w:ascii="Times New Roman" w:hAnsi="Times New Roman" w:eastAsia="Times New Roman" w:cs="Times New Roman"/>
              </w:rPr>
              <w:t>，</w:t>
            </w:r>
            <w:r>
              <w:rPr>
                <w:rFonts w:hint="eastAsia" w:ascii="Times New Roman" w:hAnsi="Times New Roman" w:eastAsia="FangSong" w:cs="Times New Roman"/>
              </w:rPr>
              <w:t>读特征标表基函数栏的不可约表示归属</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群轨道与能级分裂</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-SALC </w:t>
            </w:r>
            <w:r>
              <w:rPr>
                <w:rFonts w:hint="eastAsia" w:ascii="Times New Roman" w:hAnsi="Times New Roman" w:eastAsia="FangSong" w:cs="Times New Roman"/>
              </w:rPr>
              <w:t>投影构建群轨道</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场分裂</w:t>
            </w:r>
            <w:r>
              <w:rPr>
                <w:rFonts w:hint="eastAsia" w:ascii="Times New Roman" w:hAnsi="Times New Roman" w:eastAsia="Times New Roman" w:cs="Times New Roman"/>
              </w:rPr>
              <w:t>（</w:t>
            </w:r>
            <m:oMath>
              <m:sSub>
                <m:e>
                  <m:r>
                    <m:rPr>
                      <m:sty m:val="p"/>
                    </m:rPr>
                    <m:t>Δ</m:t>
                  </m:r>
                </m:e>
                <m:sub>
                  <m:r>
                    <m:t>t</m:t>
                  </m:r>
                </m:sub>
              </m:sSub>
              <m:r>
                <m:rPr>
                  <m:sty m:val="p"/>
                </m:rPr>
                <m:t>≈</m:t>
              </m:r>
              <m:f>
                <m:fPr>
                  <m:type m:val="lin"/>
                </m:fPr>
                <m:num>
                  <m:r>
                    <m:t>4</m:t>
                  </m:r>
                </m:num>
                <m:den>
                  <m:r>
                    <m:t>9</m:t>
                  </m:r>
                </m:den>
              </m:f>
              <m:sSub>
                <m:e>
                  <m:r>
                    <m:rPr>
                      <m:sty m:val="p"/>
                    </m:rPr>
                    <m:t>Δ</m:t>
                  </m:r>
                </m:e>
                <m:sub>
                  <m:r>
                    <m:t>o</m:t>
                  </m:r>
                </m:sub>
              </m:sSub>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选律与跃迁强度</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选律与振动偶合解释</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跃迁禁阻及其解除机制</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电荷转移跃迁</w:t>
            </w:r>
          </w:p>
        </w:tc>
        <w:tc>
          <w:tcPr/>
          <w:p>
            <w:pPr>
              <w:pStyle w:val="Compact"/>
              <w:jc w:val="center"/>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LMCT/MLCT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解释深浓显色的成因</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T-S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Tanabe-Sugano </w:t>
            </w:r>
            <w:r>
              <w:rPr>
                <w:rFonts w:hint="eastAsia" w:ascii="Times New Roman" w:hAnsi="Times New Roman" w:eastAsia="FangSong" w:cs="Times New Roman"/>
              </w:rPr>
              <w:t>图参数化分析</w:t>
            </w:r>
            <w:r>
              <w:rPr>
                <w:rFonts w:hint="eastAsia" w:ascii="Times New Roman" w:hAnsi="Times New Roman" w:eastAsia="Times New Roman" w:cs="Times New Roman"/>
              </w:rPr>
              <w:t>，</w:t>
            </w:r>
            <w:r>
              <w:rPr>
                <w:rFonts w:hint="eastAsia" w:ascii="Times New Roman" w:hAnsi="Times New Roman" w:eastAsia="FangSong" w:cs="Times New Roman"/>
              </w:rPr>
              <w:t>解释一阶</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点群系统判定与特征标基函数</w:t>
            </w:r>
          </w:p>
        </w:tc>
        <w:tc>
          <w:tcPr/>
          <w:p>
            <w:pPr>
              <w:pStyle w:val="Compact"/>
              <w:jc w:val="center"/>
            </w:pPr>
            <w:r>
              <w:rPr>
                <w:rFonts w:hint="eastAsia" w:ascii="Times New Roman" w:hAnsi="Times New Roman" w:eastAsia="FangSong" w:cs="Times New Roman"/>
              </w:rPr>
              <w:t>熟练掌握配合物中心骨架对称操作与点群分类决策树</w:t>
            </w:r>
            <w:r>
              <w:rPr>
                <w:rFonts w:hint="eastAsia" w:ascii="Times New Roman" w:hAnsi="Times New Roman" w:eastAsia="Times New Roman" w:cs="Times New Roman"/>
              </w:rPr>
              <w:t>（</w:t>
            </w:r>
            <m:oMath>
              <m:sSub>
                <m:e>
                  <m:r>
                    <m:t>O</m:t>
                  </m:r>
                </m:e>
                <m:sub>
                  <m:r>
                    <m:t>h</m:t>
                  </m:r>
                </m:sub>
              </m:sSub>
              <m:r>
                <m:rPr>
                  <m:sty m:val="p"/>
                </m:rPr>
                <m:t>,</m:t>
              </m:r>
              <m:sSub>
                <m:e>
                  <m:r>
                    <m:t>T</m:t>
                  </m:r>
                </m:e>
                <m:sub>
                  <m:r>
                    <m:t>d</m:t>
                  </m:r>
                </m:sub>
              </m:sSub>
              <m:r>
                <m:rPr>
                  <m:sty m:val="p"/>
                </m:rPr>
                <m:t>,</m:t>
              </m:r>
              <m:sSub>
                <m:e>
                  <m:r>
                    <m:t>D</m:t>
                  </m:r>
                </m:e>
                <m:sub>
                  <m:r>
                    <m:t>4</m:t>
                  </m:r>
                  <m:r>
                    <m:t>h</m:t>
                  </m:r>
                </m:sub>
              </m:sSub>
              <m:r>
                <m:rPr>
                  <m:sty m:val="p"/>
                </m:rPr>
                <m:t>,</m:t>
              </m: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精通特征标表结构与基函数栏</w:t>
            </w:r>
            <w:r>
              <w:rPr>
                <w:rFonts w:hint="eastAsia" w:ascii="Times New Roman" w:hAnsi="Times New Roman" w:eastAsia="Times New Roman" w:cs="Times New Roman"/>
              </w:rPr>
              <w:t>（</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与二次项函数</w:t>
            </w:r>
            <w:r>
              <w:rPr>
                <w:rFonts w:hint="eastAsia" w:ascii="Times New Roman" w:hAnsi="Times New Roman" w:eastAsia="Times New Roman" w:cs="Times New Roman"/>
              </w:rPr>
              <w:t>），</w:t>
            </w:r>
            <w:r>
              <w:rPr>
                <w:rFonts w:hint="eastAsia" w:ascii="Times New Roman" w:hAnsi="Times New Roman" w:eastAsia="FangSong" w:cs="Times New Roman"/>
              </w:rPr>
              <w:t>严密推导金属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轨道角度波函数在不同对称群中的不可约表示归属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x</m:t>
              </m:r>
              <m:r>
                <m:t>y</m:t>
              </m:r>
              <m:r>
                <m:rPr>
                  <m:sty m:val="p"/>
                </m:rPr>
                <m:t>∈</m:t>
              </m:r>
              <m:sSub>
                <m:e>
                  <m:r>
                    <m:t>t</m:t>
                  </m:r>
                </m:e>
                <m:sub>
                  <m:r>
                    <m:t>2</m:t>
                  </m:r>
                  <m:r>
                    <m:t>g</m:t>
                  </m:r>
                </m:sub>
              </m:sSub>
              <m:r>
                <m:rPr>
                  <m:sty m:val="p"/>
                </m:rPr>
                <m:t>,</m:t>
              </m:r>
              <m:sSup>
                <m:e>
                  <m:r>
                    <m:t>z</m:t>
                  </m:r>
                </m:e>
                <m:sup>
                  <m:r>
                    <m:t>2</m:t>
                  </m:r>
                </m:sup>
              </m:sSup>
              <m:r>
                <m:rPr>
                  <m:sty m:val="p"/>
                </m:rPr>
                <m:t>∈</m:t>
              </m:r>
              <m:sSub>
                <m:e>
                  <m:r>
                    <m:t>e</m:t>
                  </m:r>
                </m:e>
                <m:sub>
                  <m:r>
                    <m:t>g</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配体群轨道与对称性匹配原理</w:t>
            </w:r>
          </w:p>
        </w:tc>
        <w:tc>
          <w:tcPr/>
          <w:p>
            <w:pPr>
              <w:pStyle w:val="Compact"/>
              <w:jc w:val="center"/>
            </w:pPr>
            <w:r>
              <w:rPr>
                <w:rFonts w:hint="eastAsia" w:ascii="Times New Roman" w:hAnsi="Times New Roman" w:eastAsia="FangSong" w:cs="Times New Roman"/>
              </w:rPr>
              <w:t>掌握消失积分定理在量子力学微扰与成键中的物理本质</w:t>
            </w:r>
            <w:r>
              <w:rPr>
                <w:rFonts w:hint="eastAsia" w:ascii="Times New Roman" w:hAnsi="Times New Roman" w:eastAsia="Times New Roman" w:cs="Times New Roman"/>
              </w:rPr>
              <w:t>；</w:t>
            </w:r>
            <w:r>
              <w:rPr>
                <w:rFonts w:hint="eastAsia" w:ascii="Times New Roman" w:hAnsi="Times New Roman" w:eastAsia="FangSong" w:cs="Times New Roman"/>
              </w:rPr>
              <w:t>熟练运用投影算符构建配体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深刻理解</w:t>
            </w:r>
            <w:r>
              <w:rPr>
                <w:rFonts w:hint="eastAsia" w:ascii="Times New Roman" w:hAnsi="Times New Roman" w:eastAsia="Times New Roman" w:cs="Times New Roman"/>
              </w:rPr>
              <w:t>“</w:t>
            </w:r>
            <w:r>
              <w:rPr>
                <w:rFonts w:hint="eastAsia" w:ascii="Times New Roman" w:hAnsi="Times New Roman" w:eastAsia="FangSong" w:cs="Times New Roman"/>
              </w:rPr>
              <w:t>同对称种类才发生相互作用</w:t>
            </w:r>
            <w:r>
              <w:rPr>
                <w:rFonts w:hint="eastAsia" w:ascii="Times New Roman" w:hAnsi="Times New Roman" w:eastAsia="Times New Roman" w:cs="Times New Roman"/>
              </w:rPr>
              <w:t>”</w:t>
            </w:r>
            <w:r>
              <w:rPr>
                <w:rFonts w:hint="eastAsia" w:ascii="Times New Roman" w:hAnsi="Times New Roman" w:eastAsia="FangSong" w:cs="Times New Roman"/>
              </w:rPr>
              <w:t>这一普遍量子公理在配位场能级分裂与轨道抬升中的决定性作用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配位场能级分裂与几何演化</w:t>
            </w:r>
          </w:p>
        </w:tc>
        <w:tc>
          <w:tcPr/>
          <w:p>
            <w:pPr>
              <w:pStyle w:val="Compact"/>
              <w:jc w:val="center"/>
            </w:pPr>
            <w:r>
              <w:rPr>
                <w:rFonts w:hint="eastAsia" w:ascii="Times New Roman" w:hAnsi="Times New Roman" w:eastAsia="FangSong" w:cs="Times New Roman"/>
              </w:rPr>
              <w:t>掌握正八面体</w:t>
            </w:r>
            <w:r>
              <w:rPr>
                <w:rFonts w:hint="eastAsia" w:ascii="Times New Roman" w:hAnsi="Times New Roman" w:eastAsia="Times New Roman" w:cs="Times New Roman"/>
              </w:rPr>
              <w:t>、</w:t>
            </w:r>
            <w:r>
              <w:rPr>
                <w:rFonts w:hint="eastAsia" w:ascii="Times New Roman" w:hAnsi="Times New Roman" w:eastAsia="FangSong" w:cs="Times New Roman"/>
              </w:rPr>
              <w:t>四面体与平面正方形场分裂的微观机理</w:t>
            </w:r>
            <w:r>
              <w:rPr>
                <w:rFonts w:hint="eastAsia" w:ascii="Times New Roman" w:hAnsi="Times New Roman" w:eastAsia="Times New Roman" w:cs="Times New Roman"/>
              </w:rPr>
              <w:t>，</w:t>
            </w:r>
            <w:r>
              <w:rPr>
                <w:rFonts w:hint="eastAsia" w:ascii="Times New Roman" w:hAnsi="Times New Roman" w:eastAsia="FangSong" w:cs="Times New Roman"/>
              </w:rPr>
              <w:t>严格证明四面体场分裂能</w:t>
            </w:r>
            <w:r>
              <w:rPr>
                <w:rFonts w:ascii="Times New Roman" w:hAnsi="Times New Roman" w:eastAsia="Times New Roman" w:cs="Times New Roman"/>
              </w:rPr>
              <w:t xml:space="preserve"> </w:t>
            </w: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熟练运用降对称链</w:t>
            </w:r>
            <w:r>
              <w:rPr>
                <w:rFonts w:hint="eastAsia" w:ascii="Times New Roman" w:hAnsi="Times New Roman" w:eastAsia="Times New Roman" w:cs="Times New Roman"/>
              </w:rPr>
              <w:t>（</w:t>
            </w:r>
            <m:oMath>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分析轨道简并解除过程</w:t>
            </w:r>
            <w:r>
              <w:rPr>
                <w:rFonts w:hint="eastAsia" w:ascii="Times New Roman" w:hAnsi="Times New Roman" w:eastAsia="Times New Roman" w:cs="Times New Roman"/>
              </w:rPr>
              <w:t>；</w:t>
            </w:r>
            <w:r>
              <w:rPr>
                <w:rFonts w:hint="eastAsia" w:ascii="Times New Roman" w:hAnsi="Times New Roman" w:eastAsia="FangSong" w:cs="Times New Roman"/>
              </w:rPr>
              <w:t>理解配体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轨道的调控及光谱化学序列微观本质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配位光谱选律与荷移跃迁</w:t>
            </w:r>
          </w:p>
        </w:tc>
        <w:tc>
          <w:tcPr/>
          <w:p>
            <w:pPr>
              <w:pStyle w:val="Compact"/>
              <w:jc w:val="center"/>
            </w:pPr>
            <w:r>
              <w:rPr>
                <w:rFonts w:hint="eastAsia" w:ascii="Times New Roman" w:hAnsi="Times New Roman" w:eastAsia="FangSong" w:cs="Times New Roman"/>
              </w:rPr>
              <w:t xml:space="preserve">熟练掌握</w:t>
            </w:r>
            <w:r>
              <w:rPr>
                <w:rFonts w:ascii="Times New Roman" w:hAnsi="Times New Roman" w:eastAsia="Times New Roman" w:cs="Times New Roman"/>
              </w:rPr>
              <w:t xml:space="preserve"> Laporte </w:t>
            </w:r>
            <w:r>
              <w:rPr>
                <w:rFonts w:hint="eastAsia" w:ascii="Times New Roman" w:hAnsi="Times New Roman" w:eastAsia="FangSong" w:cs="Times New Roman"/>
              </w:rPr>
              <w:t>宇称选律</w:t>
            </w:r>
            <w:r>
              <w:rPr>
                <w:rFonts w:hint="eastAsia" w:ascii="Times New Roman" w:hAnsi="Times New Roman" w:eastAsia="Times New Roman" w:cs="Times New Roman"/>
              </w:rPr>
              <w:t>（</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及非中心对称简正振动引起的振动偶合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解除机制</w:t>
            </w:r>
            <w:r>
              <w:rPr>
                <w:rFonts w:hint="eastAsia" w:ascii="Times New Roman" w:hAnsi="Times New Roman" w:eastAsia="Times New Roman" w:cs="Times New Roman"/>
              </w:rPr>
              <w:t>；</w:t>
            </w:r>
            <w:r>
              <w:rPr>
                <w:rFonts w:hint="eastAsia" w:ascii="Times New Roman" w:hAnsi="Times New Roman" w:eastAsia="FangSong" w:cs="Times New Roman"/>
              </w:rPr>
              <w:t>掌握四面体</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轨道静态杂化对跃迁偶极矩的倍增效应</w:t>
            </w:r>
            <w:r>
              <w:rPr>
                <w:rFonts w:hint="eastAsia" w:ascii="Times New Roman" w:hAnsi="Times New Roman" w:eastAsia="Times New Roman" w:cs="Times New Roman"/>
              </w:rPr>
              <w:t>；</w:t>
            </w:r>
            <w:r>
              <w:rPr>
                <w:rFonts w:hint="eastAsia" w:ascii="Times New Roman" w:hAnsi="Times New Roman" w:eastAsia="FangSong" w:cs="Times New Roman"/>
              </w:rPr>
              <w:t>理解配体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双重完全允许特征及深浓显色机理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田边菅野图与姜泰勒畸变</w:t>
            </w:r>
          </w:p>
        </w:tc>
        <w:tc>
          <w:tcPr/>
          <w:p>
            <w:pPr>
              <w:pStyle w:val="Compact"/>
              <w:jc w:val="center"/>
            </w:pPr>
            <w:r>
              <w:rPr>
                <w:rFonts w:hint="eastAsia" w:ascii="Times New Roman" w:hAnsi="Times New Roman" w:eastAsia="FangSong" w:cs="Times New Roman"/>
              </w:rPr>
              <w:t>掌握田边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图无量纲参数化</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读图语法与高低自旋基态相变交叉点</w:t>
            </w:r>
            <w:r>
              <w:rPr>
                <w:rFonts w:hint="eastAsia" w:ascii="Times New Roman" w:hAnsi="Times New Roman" w:eastAsia="Times New Roman" w:cs="Times New Roman"/>
              </w:rPr>
              <w:t>；</w:t>
            </w:r>
            <w:r>
              <w:rPr>
                <w:rFonts w:hint="eastAsia" w:ascii="Times New Roman" w:hAnsi="Times New Roman" w:eastAsia="FangSong" w:cs="Times New Roman"/>
              </w:rPr>
              <w:t>理解同对称性态的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w:t>
            </w:r>
            <w:r>
              <w:rPr>
                <w:rFonts w:hint="eastAsia" w:ascii="Times New Roman" w:hAnsi="Times New Roman" w:eastAsia="FangSong" w:cs="Times New Roman"/>
              </w:rPr>
              <w:t>深刻掌握一阶</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等简并体系中的四角拉伸</w:t>
            </w:r>
            <w:r>
              <w:rPr>
                <w:rFonts w:hint="eastAsia" w:ascii="Times New Roman" w:hAnsi="Times New Roman" w:eastAsia="Times New Roman" w:cs="Times New Roman"/>
              </w:rPr>
              <w:t>/</w:t>
            </w:r>
            <w:r>
              <w:rPr>
                <w:rFonts w:hint="eastAsia" w:ascii="Times New Roman" w:hAnsi="Times New Roman" w:eastAsia="FangSong" w:cs="Times New Roman"/>
              </w:rPr>
              <w:t>压缩势能面微观分化</w:t>
            </w:r>
            <w:r>
              <w:rPr>
                <w:rFonts w:hint="eastAsia" w:ascii="Times New Roman" w:hAnsi="Times New Roman" w:eastAsia="Times New Roman" w:cs="Times New Roman"/>
              </w:rPr>
              <w:t>，</w:t>
            </w:r>
            <w:r>
              <w:rPr>
                <w:rFonts w:hint="eastAsia" w:ascii="Times New Roman" w:hAnsi="Times New Roman" w:eastAsia="FangSong" w:cs="Times New Roman"/>
              </w:rPr>
              <w:t>及其对水交换动力学的极度调控</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5"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沿着严密的拓扑决策树进行系统性判定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1" name="Picture"/>
            <a:graphic>
              <a:graphicData uri="http://schemas.openxmlformats.org/drawingml/2006/picture">
                <pic:pic>
                  <pic:nvPicPr>
                    <pic:cNvPr descr="b369ac278cde524d4dd934a0f1d378fb7125fc19403d26853d3b10ff1f2add24.jpg" id="12" name="Picture"/>
                    <pic:cNvPicPr>
                      <a:picLocks noChangeArrowheads="1" noChangeAspect="1"/>
                    </pic:cNvPicPr>
                  </pic:nvPicPr>
                  <pic:blipFill>
                    <a:blip r:embed="rId10"/>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4" name="Picture"/>
            <a:graphic>
              <a:graphicData uri="http://schemas.openxmlformats.org/drawingml/2006/picture">
                <pic:pic>
                  <pic:nvPicPr>
                    <pic:cNvPr descr="83e40c1f0ddada89bbd67f581ee16670deb06ec628f1d461b145d879151166e7.png" id="15" name="Picture"/>
                    <pic:cNvPicPr>
                      <a:picLocks noChangeArrowheads="1" noChangeAspect="1"/>
                    </pic:cNvPicPr>
                  </pic:nvPicPr>
                  <pic:blipFill>
                    <a:blip r:embed="rId13"/>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7" name="Picture"/>
            <a:graphic>
              <a:graphicData uri="http://schemas.openxmlformats.org/drawingml/2006/picture">
                <pic:pic>
                  <pic:nvPicPr>
                    <pic:cNvPr descr="920cf46c8a697683f18fa09937351bc4fd62b794adef3d5a8af4045b016e9b77.png" id="18" name="Picture"/>
                    <pic:cNvPicPr>
                      <a:picLocks noChangeArrowheads="1" noChangeAspect="1"/>
                    </pic:cNvPicPr>
                  </pic:nvPicPr>
                  <pic:blipFill>
                    <a:blip r:embed="rId16"/>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20" name="Picture"/>
            <a:graphic>
              <a:graphicData uri="http://schemas.openxmlformats.org/drawingml/2006/picture">
                <pic:pic>
                  <pic:nvPicPr>
                    <pic:cNvPr descr="00c288fedbeb8768380746d01d8ff67430682bac1ac3fc75c73600b7fb0f1e87.jpg" id="21" name="Picture"/>
                    <pic:cNvPicPr>
                      <a:picLocks noChangeArrowheads="1" noChangeAspect="1"/>
                    </pic:cNvPicPr>
                  </pic:nvPicPr>
                  <pic:blipFill>
                    <a:blip r:embed="rId19"/>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3" name="Picture"/>
            <a:graphic>
              <a:graphicData uri="http://schemas.openxmlformats.org/drawingml/2006/picture">
                <pic:pic>
                  <pic:nvPicPr>
                    <pic:cNvPr descr="4c27fee08a2e6b356393bf35b45f062c8d72934397769812110c90e1920d5585.jpg" id="24" name="Picture"/>
                    <pic:cNvPicPr>
                      <a:picLocks noChangeArrowheads="1" noChangeAspect="1"/>
                    </pic:cNvPicPr>
                  </pic:nvPicPr>
                  <pic:blipFill>
                    <a:blip r:embed="rId22"/>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2"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其字母代码蕴含着极其严密的微观量子力学意义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7" name="Picture"/>
            <a:graphic>
              <a:graphicData uri="http://schemas.openxmlformats.org/drawingml/2006/picture">
                <pic:pic>
                  <pic:nvPicPr>
                    <pic:cNvPr descr="89f7cc578e1ac1246d3cec0f6a1a807c3d6ab36e5681f563b65c14e3c48d1fed.jpg" id="28" name="Picture"/>
                    <pic:cNvPicPr>
                      <a:picLocks noChangeArrowheads="1" noChangeAspect="1"/>
                    </pic:cNvPicPr>
                  </pic:nvPicPr>
                  <pic:blipFill>
                    <a:blip r:embed="rId26"/>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30" name="Picture"/>
            <a:graphic>
              <a:graphicData uri="http://schemas.openxmlformats.org/drawingml/2006/picture">
                <pic:pic>
                  <pic:nvPicPr>
                    <pic:cNvPr descr="9d7da84c2e0d70e53df5ee6f3c03e02c314f65faad7872e612f0fce5c85a85d4.jpg" id="31" name="Picture"/>
                    <pic:cNvPicPr>
                      <a:picLocks noChangeArrowheads="1" noChangeAspect="1"/>
                    </pic:cNvPicPr>
                  </pic:nvPicPr>
                  <pic:blipFill>
                    <a:blip r:embed="rId29"/>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4" name="Picture"/>
            <a:graphic>
              <a:graphicData uri="http://schemas.openxmlformats.org/drawingml/2006/picture">
                <pic:pic>
                  <pic:nvPicPr>
                    <pic:cNvPr descr="42b57f3be6373a202238ba213e1e83bcb123a6cb8ab8933a62b71dc4d6ce2da5.jpg" id="35" name="Picture"/>
                    <pic:cNvPicPr>
                      <a:picLocks noChangeArrowheads="1" noChangeAspect="1"/>
                    </pic:cNvPicPr>
                  </pic:nvPicPr>
                  <pic:blipFill>
                    <a:blip r:embed="rId33"/>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7" name="Picture"/>
            <a:graphic>
              <a:graphicData uri="http://schemas.openxmlformats.org/drawingml/2006/picture">
                <pic:pic>
                  <pic:nvPicPr>
                    <pic:cNvPr descr="5016704d532f7b1ad7caac8f615d8796ea3349d1dba90038855ccba99450f75c.jpg" id="38" name="Picture"/>
                    <pic:cNvPicPr>
                      <a:picLocks noChangeArrowheads="1" noChangeAspect="1"/>
                    </pic:cNvPicPr>
                  </pic:nvPicPr>
                  <pic:blipFill>
                    <a:blip r:embed="rId36"/>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40" name="Picture"/>
            <a:graphic>
              <a:graphicData uri="http://schemas.openxmlformats.org/drawingml/2006/picture">
                <pic:pic>
                  <pic:nvPicPr>
                    <pic:cNvPr descr="45c0bbeb313ddf67d1c381b84e7475106296c4ef3057e3d30ae12b15805b8441.jpg" id="41" name="Picture"/>
                    <pic:cNvPicPr>
                      <a:picLocks noChangeArrowheads="1" noChangeAspect="1"/>
                    </pic:cNvPicPr>
                  </pic:nvPicPr>
                  <pic:blipFill>
                    <a:blip r:embed="rId39"/>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3" name="Picture"/>
            <a:graphic>
              <a:graphicData uri="http://schemas.openxmlformats.org/drawingml/2006/picture">
                <pic:pic>
                  <pic:nvPicPr>
                    <pic:cNvPr descr="f144b41a7db3fc3f0440663eeeddf642f2f255933a6e203cae4ff261ec5006c0.jpg" id="44" name="Picture"/>
                    <pic:cNvPicPr>
                      <a:picLocks noChangeArrowheads="1" noChangeAspect="1"/>
                    </pic:cNvPicPr>
                  </pic:nvPicPr>
                  <pic:blipFill>
                    <a:blip r:embed="rId42"/>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6" name="Picture"/>
            <a:graphic>
              <a:graphicData uri="http://schemas.openxmlformats.org/drawingml/2006/picture">
                <pic:pic>
                  <pic:nvPicPr>
                    <pic:cNvPr descr="d608081a1140f05d9093100488b1fe52f7c6fa58de1c3662cc879d91e2e9c452.jpg" id="47" name="Picture"/>
                    <pic:cNvPicPr>
                      <a:picLocks noChangeArrowheads="1" noChangeAspect="1"/>
                    </pic:cNvPicPr>
                  </pic:nvPicPr>
                  <pic:blipFill>
                    <a:blip r:embed="rId45"/>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4"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在能级拓扑上表现为连续分化的降对称链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50" name="Picture"/>
            <a:graphic>
              <a:graphicData uri="http://schemas.openxmlformats.org/drawingml/2006/picture">
                <pic:pic>
                  <pic:nvPicPr>
                    <pic:cNvPr descr="5f17019ed47a446f6515092df204963ec690487335c040ce1b8bf22b9d631f8b.jpg" id="51" name="Picture"/>
                    <pic:cNvPicPr>
                      <a:picLocks noChangeArrowheads="1" noChangeAspect="1"/>
                    </pic:cNvPicPr>
                  </pic:nvPicPr>
                  <pic:blipFill>
                    <a:blip r:embed="rId49"/>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6" name="Picture"/>
            <a:graphic>
              <a:graphicData uri="http://schemas.openxmlformats.org/drawingml/2006/picture">
                <pic:pic>
                  <pic:nvPicPr>
                    <pic:cNvPr descr="39f49f72ee2c5c07150b3f9e7700a3103839a99827c118524cb1ca5a3faa6a7a.jpg" id="57" name="Picture"/>
                    <pic:cNvPicPr>
                      <a:picLocks noChangeArrowheads="1" noChangeAspect="1"/>
                    </pic:cNvPicPr>
                  </pic:nvPicPr>
                  <pic:blipFill>
                    <a:blip r:embed="rId55"/>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9" name="Picture"/>
            <a:graphic>
              <a:graphicData uri="http://schemas.openxmlformats.org/drawingml/2006/picture">
                <pic:pic>
                  <pic:nvPicPr>
                    <pic:cNvPr descr="fd5b7f66c5e0ac2f09cdc9b1972d4ac867193db5a4ab939f93e6f02e27a5ece0.jpg" id="60" name="Picture"/>
                    <pic:cNvPicPr>
                      <a:picLocks noChangeArrowheads="1" noChangeAspect="1"/>
                    </pic:cNvPicPr>
                  </pic:nvPicPr>
                  <pic:blipFill>
                    <a:blip r:embed="rId58"/>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2" name="Picture"/>
            <a:graphic>
              <a:graphicData uri="http://schemas.openxmlformats.org/drawingml/2006/picture">
                <pic:pic>
                  <pic:nvPicPr>
                    <pic:cNvPr descr="e24689caf3117fe72dc27d03961a30f2e9a41988159b39887b4aa3a15c0ee84c.png" id="63" name="Picture"/>
                    <pic:cNvPicPr>
                      <a:picLocks noChangeArrowheads="1" noChangeAspect="1"/>
                    </pic:cNvPicPr>
                  </pic:nvPicPr>
                  <pic:blipFill>
                    <a:blip r:embed="rId61"/>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轨道的能量发生断崖式下坠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与下方较平缓的四个轨道之间拉开了极其宽阔的能隙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而将能量惩罚极其巨大的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6" name="Picture"/>
            <a:graphic>
              <a:graphicData uri="http://schemas.openxmlformats.org/drawingml/2006/picture">
                <pic:pic>
                  <pic:nvPicPr>
                    <pic:cNvPr descr="d72347c3cfbe30dc1a3de473003eec8081ff501dd0bd3a719c73a5b18f824230.png" id="67" name="Picture"/>
                    <pic:cNvPicPr>
                      <a:picLocks noChangeArrowheads="1" noChangeAspect="1"/>
                    </pic:cNvPicPr>
                  </pic:nvPicPr>
                  <pic:blipFill>
                    <a:blip r:embed="rId65"/>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在客观实验中必然导致配位场分裂能暴跌</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从而展现出全化学界最强悍的裂场能力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8"/>
    <w:bookmarkStart w:id="72"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自旋禁阻跃迁被极度压制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70" name="Picture"/>
            <a:graphic>
              <a:graphicData uri="http://schemas.openxmlformats.org/drawingml/2006/picture">
                <pic:pic>
                  <pic:nvPicPr>
                    <pic:cNvPr descr="6f6203fa402ca02c108360e2102f257d0c01147d1dd56821d6d1f16019afd82f.jpg" id="71" name="Picture"/>
                    <pic:cNvPicPr>
                      <a:picLocks noChangeArrowheads="1" noChangeAspect="1"/>
                    </pic:cNvPicPr>
                  </pic:nvPicPr>
                  <pic:blipFill>
                    <a:blip r:embed="rId69"/>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导致其摩尔吸光系数相较八面体跃迁发生数百倍的暴增</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展现出极其深邃浓郁色彩的吸收带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最震撼的自然范例当属高锰酸根阴离子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处展现出一个极为剧烈深沉的宽吸收峰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显现出的极为醒目的血红色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5" name="Picture"/>
            <a:graphic>
              <a:graphicData uri="http://schemas.openxmlformats.org/drawingml/2006/picture">
                <pic:pic>
                  <pic:nvPicPr>
                    <pic:cNvPr descr="TS_d2_diagram.png" id="76" name="Picture"/>
                    <pic:cNvPicPr>
                      <a:picLocks noChangeArrowheads="1" noChangeAspect="1"/>
                    </pic:cNvPicPr>
                  </pic:nvPicPr>
                  <pic:blipFill>
                    <a:blip r:embed="rId74"/>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所有的激发态能级曲线发生极其剧烈的斜率折折突变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便能极其严密地反解出该过渡金属离子在配合物中的真实拉卡参数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93"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9" name="Picture"/>
            <a:graphic>
              <a:graphicData uri="http://schemas.openxmlformats.org/drawingml/2006/picture">
                <pic:pic>
                  <pic:nvPicPr>
                    <pic:cNvPr descr="733d5cd6b7c50c4f85af83fda6c8d39a5745cc400e8c51ada56accd436f38d99.jpg" id="80" name="Picture"/>
                    <pic:cNvPicPr>
                      <a:picLocks noChangeArrowheads="1" noChangeAspect="1"/>
                    </pic:cNvPicPr>
                  </pic:nvPicPr>
                  <pic:blipFill>
                    <a:blip r:embed="rId78"/>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2" name="Picture"/>
            <a:graphic>
              <a:graphicData uri="http://schemas.openxmlformats.org/drawingml/2006/picture">
                <pic:pic>
                  <pic:nvPicPr>
                    <pic:cNvPr descr="41d3c43e30af8fec49ea1b3d56f8b8f1bb508b810d4a32464af587a8341edd3f.jpg" id="83" name="Picture"/>
                    <pic:cNvPicPr>
                      <a:picLocks noChangeArrowheads="1" noChangeAspect="1"/>
                    </pic:cNvPicPr>
                  </pic:nvPicPr>
                  <pic:blipFill>
                    <a:blip r:embed="rId81"/>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5" name="Picture"/>
            <a:graphic>
              <a:graphicData uri="http://schemas.openxmlformats.org/drawingml/2006/picture">
                <pic:pic>
                  <pic:nvPicPr>
                    <pic:cNvPr descr="6aa921d2d5d6ba5c5209e4a3e47606b1c06328a34b9a0397c8ac282e97314833.jpg" id="86" name="Picture"/>
                    <pic:cNvPicPr>
                      <a:picLocks noChangeArrowheads="1" noChangeAspect="1"/>
                    </pic:cNvPicPr>
                  </pic:nvPicPr>
                  <pic:blipFill>
                    <a:blip r:embed="rId84"/>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效应具有极度严格的轨道指向判据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必然引发极度剧烈的宏观晶格畸变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二价铜的六配位化合物展现出极其悬殊的键长分化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8" name="Picture"/>
            <a:graphic>
              <a:graphicData uri="http://schemas.openxmlformats.org/drawingml/2006/picture">
                <pic:pic>
                  <pic:nvPicPr>
                    <pic:cNvPr descr="ee93040a7a663e19c733aaddd2f923a082b50591baeeb1ee85766b3e87157181.jpg" id="89" name="Picture"/>
                    <pic:cNvPicPr>
                      <a:picLocks noChangeArrowheads="1" noChangeAspect="1"/>
                    </pic:cNvPicPr>
                  </pic:nvPicPr>
                  <pic:blipFill>
                    <a:blip r:embed="rId87"/>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1" name="Picture"/>
            <a:graphic>
              <a:graphicData uri="http://schemas.openxmlformats.org/drawingml/2006/picture">
                <pic:pic>
                  <pic:nvPicPr>
                    <pic:cNvPr descr="9ea24f1ec0a45fbba62b375e1af7cb45b61dcd26b98e0ac0377e4a5ca3f040b8.jpg" id="92" name="Picture"/>
                    <pic:cNvPicPr>
                      <a:picLocks noChangeArrowheads="1" noChangeAspect="1"/>
                    </pic:cNvPicPr>
                  </pic:nvPicPr>
                  <pic:blipFill>
                    <a:blip r:embed="rId90"/>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泰勒四角拉伸畸变引发了无机化学中最令人叹为观止的反应动力学奇迹</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这两个轴向水分子以惊人的频率与溶剂水分子进行交换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与之形成极其鲜明对立的是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且拥有极其巨大的晶体场稳定化能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赛场高频失分命题陷阱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在全国初赛与决赛的配位结构与光谱综合大题中</w:t>
      </w:r>
      <w:r>
        <w:rPr>
          <w:rFonts w:hint="eastAsia" w:ascii="Times New Roman" w:hAnsi="Times New Roman" w:eastAsia="Times New Roman" w:cs="Times New Roman"/>
        </w:rPr>
        <w:t>，</w:t>
      </w:r>
      <w:r>
        <w:rPr>
          <w:rFonts w:hint="eastAsia" w:ascii="Times New Roman" w:hAnsi="Times New Roman" w:eastAsia="FangSong" w:cs="Times New Roman"/>
        </w:rPr>
        <w:t>考生常因概念边界模糊而陷入命题人精心布置的思维陷阱</w:t>
      </w:r>
      <w:r>
        <w:rPr>
          <w:rFonts w:hint="eastAsia" w:ascii="Times New Roman" w:hAnsi="Times New Roman" w:eastAsia="Times New Roman" w:cs="Times New Roman"/>
        </w:rPr>
        <w:t>。</w:t>
      </w:r>
      <w:r>
        <w:rPr>
          <w:rFonts w:hint="eastAsia" w:ascii="Times New Roman" w:hAnsi="Times New Roman" w:eastAsia="FangSong" w:cs="Times New Roman"/>
        </w:rPr>
        <w:t>在此梳理八大典型高频失分误区与钢铁防线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陷阱一</w:t>
      </w:r>
      <w:r>
        <w:rPr>
          <w:rFonts w:hint="eastAsia" w:ascii="Times New Roman" w:hAnsi="Times New Roman" w:eastAsia="Times New Roman" w:cs="Times New Roman"/>
        </w:rPr>
        <w:t>：</w:t>
      </w:r>
      <w:r>
        <w:rPr>
          <w:rFonts w:hint="eastAsia" w:ascii="Times New Roman" w:hAnsi="Times New Roman" w:eastAsia="FangSong" w:cs="Times New Roman"/>
        </w:rPr>
        <w:t>点群判定时忽视配体内部微观取向与构象伪对称性</w:t>
      </w:r>
      <w:r>
        <w:rPr>
          <w:rFonts w:hint="eastAsia" w:ascii="Times New Roman" w:hAnsi="Times New Roman" w:eastAsia="Times New Roman" w:cs="Times New Roman"/>
        </w:rPr>
        <w:t>。</w:t>
      </w:r>
      <w:r>
        <w:rPr>
          <w:rFonts w:hint="eastAsia" w:ascii="Times New Roman" w:hAnsi="Times New Roman" w:eastAsia="FangSong" w:cs="Times New Roman"/>
        </w:rPr>
        <w:t>许多考生在判定多齿螯合物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或多原子配体配合物时</w:t>
      </w:r>
      <w:r>
        <w:rPr>
          <w:rFonts w:hint="eastAsia" w:ascii="Times New Roman" w:hAnsi="Times New Roman" w:eastAsia="Times New Roman" w:cs="Times New Roman"/>
        </w:rPr>
        <w:t>，</w:t>
      </w:r>
      <w:r>
        <w:rPr>
          <w:rFonts w:hint="eastAsia" w:ascii="Times New Roman" w:hAnsi="Times New Roman" w:eastAsia="FangSong" w:cs="Times New Roman"/>
        </w:rPr>
        <w:t>脱离真实微观构象</w:t>
      </w:r>
      <w:r>
        <w:rPr>
          <w:rFonts w:hint="eastAsia" w:ascii="Times New Roman" w:hAnsi="Times New Roman" w:eastAsia="Times New Roman" w:cs="Times New Roman"/>
        </w:rPr>
        <w:t>，</w:t>
      </w:r>
      <w:r>
        <w:rPr>
          <w:rFonts w:hint="eastAsia" w:ascii="Times New Roman" w:hAnsi="Times New Roman" w:eastAsia="FangSong" w:cs="Times New Roman"/>
        </w:rPr>
        <w:t>机械将其当成球形质点</w:t>
      </w:r>
      <w:r>
        <w:rPr>
          <w:rFonts w:hint="eastAsia" w:ascii="Times New Roman" w:hAnsi="Times New Roman" w:eastAsia="Times New Roman" w:cs="Times New Roman"/>
        </w:rPr>
        <w:t>，</w:t>
      </w:r>
      <w:r>
        <w:rPr>
          <w:rFonts w:hint="eastAsia" w:ascii="Times New Roman" w:hAnsi="Times New Roman" w:eastAsia="FangSong" w:cs="Times New Roman"/>
        </w:rPr>
        <w:t>盲目判为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hint="eastAsia" w:ascii="Times New Roman" w:hAnsi="Times New Roman" w:eastAsia="Times New Roman" w:cs="Times New Roman"/>
        </w:rPr>
        <w:t>：</w:t>
      </w:r>
      <w:r>
        <w:rPr>
          <w:rFonts w:hint="eastAsia" w:ascii="Times New Roman" w:hAnsi="Times New Roman" w:eastAsia="FangSong" w:cs="Times New Roman"/>
        </w:rPr>
        <w:t>乙二胺螯合环具有固有的扭曲螺旋手性构象</w:t>
      </w:r>
      <w:r>
        <w:rPr>
          <w:rFonts w:hint="eastAsia" w:ascii="Times New Roman" w:hAnsi="Times New Roman" w:eastAsia="Times New Roman" w:cs="Times New Roman"/>
        </w:rPr>
        <w:t>，</w:t>
      </w:r>
      <w:r>
        <w:rPr>
          <w:rFonts w:hint="eastAsia" w:ascii="Times New Roman" w:hAnsi="Times New Roman" w:eastAsia="FangSong" w:cs="Times New Roman"/>
        </w:rPr>
        <w:t>五元环骨架破坏了全部镜面与反演中心</w:t>
      </w:r>
      <w:r>
        <w:rPr>
          <w:rFonts w:hint="eastAsia" w:ascii="Times New Roman" w:hAnsi="Times New Roman" w:eastAsia="Times New Roman" w:cs="Times New Roman"/>
        </w:rPr>
        <w:t>，</w:t>
      </w:r>
      <w:r>
        <w:rPr>
          <w:rFonts w:hint="eastAsia" w:ascii="Times New Roman" w:hAnsi="Times New Roman" w:eastAsia="FangSong" w:cs="Times New Roman"/>
        </w:rPr>
        <w:t>点群严格为手性群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判定反式</w:t>
      </w:r>
      <w:r>
        <w:rPr>
          <w:rFonts w:hint="eastAsia" w:ascii="Times New Roman" w:hAnsi="Times New Roman" w:eastAsia="Times New Roman" w:cs="Times New Roman"/>
        </w:rPr>
        <w:t>-1,2-</w:t>
      </w:r>
      <w:r>
        <w:rPr>
          <w:rFonts w:hint="eastAsia" w:ascii="Times New Roman" w:hAnsi="Times New Roman" w:eastAsia="FangSong" w:cs="Times New Roman"/>
        </w:rPr>
        <w:t>二氯乙烯时</w:t>
      </w:r>
      <w:r>
        <w:rPr>
          <w:rFonts w:hint="eastAsia" w:ascii="Times New Roman" w:hAnsi="Times New Roman" w:eastAsia="Times New Roman" w:cs="Times New Roman"/>
        </w:rPr>
        <w:t>，</w:t>
      </w:r>
      <w:r>
        <w:rPr>
          <w:rFonts w:hint="eastAsia" w:ascii="Times New Roman" w:hAnsi="Times New Roman" w:eastAsia="FangSong" w:cs="Times New Roman"/>
        </w:rPr>
        <w:t>易误将其当成</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忽视分子只有一条垂直于平面的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轴与分子水平镜面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陷阱二</w:t>
      </w:r>
      <w:r>
        <w:rPr>
          <w:rFonts w:hint="eastAsia" w:ascii="Times New Roman" w:hAnsi="Times New Roman" w:eastAsia="Times New Roman" w:cs="Times New Roman"/>
        </w:rPr>
        <w:t>：</w:t>
      </w:r>
      <w:r>
        <w:rPr>
          <w:rFonts w:hint="eastAsia" w:ascii="Times New Roman" w:hAnsi="Times New Roman" w:eastAsia="FangSong" w:cs="Times New Roman"/>
        </w:rPr>
        <w:t>特征标基函数机械套用</w:t>
      </w:r>
      <w:r>
        <w:rPr>
          <w:rFonts w:hint="eastAsia" w:ascii="Times New Roman" w:hAnsi="Times New Roman" w:eastAsia="Times New Roman" w:cs="Times New Roman"/>
        </w:rPr>
        <w:t>，</w:t>
      </w:r>
      <w:r>
        <w:rPr>
          <w:rFonts w:hint="eastAsia" w:ascii="Times New Roman" w:hAnsi="Times New Roman" w:eastAsia="FangSong" w:cs="Times New Roman"/>
        </w:rPr>
        <w:t>混淆坐标轴设定与</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基函数栏中平动坐标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许多题目在题干中故意将分子骨架所在的平面对调</w:t>
      </w:r>
      <w:r>
        <w:rPr>
          <w:rFonts w:hint="eastAsia" w:ascii="Times New Roman" w:hAnsi="Times New Roman" w:eastAsia="Times New Roman" w:cs="Times New Roman"/>
        </w:rPr>
        <w:t>（</w:t>
      </w:r>
      <w:r>
        <w:rPr>
          <w:rFonts w:hint="eastAsia" w:ascii="Times New Roman" w:hAnsi="Times New Roman" w:eastAsia="FangSong" w:cs="Times New Roman"/>
        </w:rPr>
        <w:t>例如将水分子定义在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平面而非习惯的</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若不严格检验题给坐标轴定义与反射特征标</w:t>
      </w:r>
      <w:r>
        <w:rPr>
          <w:rFonts w:hint="eastAsia" w:ascii="Times New Roman" w:hAnsi="Times New Roman" w:eastAsia="Times New Roman" w:cs="Times New Roman"/>
        </w:rPr>
        <w:t>，</w:t>
      </w:r>
      <w:r>
        <w:rPr>
          <w:rFonts w:hint="eastAsia" w:ascii="Times New Roman" w:hAnsi="Times New Roman" w:eastAsia="FangSong" w:cs="Times New Roman"/>
        </w:rPr>
        <w:t>盲目套背公式</w:t>
      </w:r>
      <w:r>
        <w:rPr>
          <w:rFonts w:hint="eastAsia" w:ascii="Times New Roman" w:hAnsi="Times New Roman" w:eastAsia="Times New Roman" w:cs="Times New Roman"/>
        </w:rPr>
        <w:t>，</w:t>
      </w:r>
      <w:r>
        <w:rPr>
          <w:rFonts w:hint="eastAsia" w:ascii="Times New Roman" w:hAnsi="Times New Roman" w:eastAsia="FangSong" w:cs="Times New Roman"/>
        </w:rPr>
        <w:t>将直接导致</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轨道归属彻底对调颠倒</w:t>
      </w:r>
      <w:r>
        <w:rPr>
          <w:rFonts w:hint="eastAsia" w:ascii="Times New Roman" w:hAnsi="Times New Roman" w:eastAsia="Times New Roman" w:cs="Times New Roman"/>
        </w:rPr>
        <w:t>，</w:t>
      </w:r>
      <w:r>
        <w:rPr>
          <w:rFonts w:hint="eastAsia" w:ascii="Times New Roman" w:hAnsi="Times New Roman" w:eastAsia="FangSong" w:cs="Times New Roman"/>
        </w:rPr>
        <w:t>造成后续成键分析全盘皆输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陷阱三</w:t>
      </w:r>
      <w:r>
        <w:rPr>
          <w:rFonts w:hint="eastAsia" w:ascii="Times New Roman" w:hAnsi="Times New Roman" w:eastAsia="Times New Roman" w:cs="Times New Roman"/>
        </w:rPr>
        <w:t>：</w:t>
      </w:r>
      <w:r>
        <w:rPr>
          <w:rFonts w:hint="eastAsia" w:ascii="Times New Roman" w:hAnsi="Times New Roman" w:eastAsia="FangSong" w:cs="Times New Roman"/>
        </w:rPr>
        <w:t>误将四面体场当成具有中心对称性而套用</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在分析正四面体配合物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的电子吸收光谱时</w:t>
      </w:r>
      <w:r>
        <w:rPr>
          <w:rFonts w:hint="eastAsia" w:ascii="Times New Roman" w:hAnsi="Times New Roman" w:eastAsia="Times New Roman" w:cs="Times New Roman"/>
        </w:rPr>
        <w:t>，</w:t>
      </w:r>
      <w:r>
        <w:rPr>
          <w:rFonts w:hint="eastAsia" w:ascii="Times New Roman" w:hAnsi="Times New Roman" w:eastAsia="FangSong" w:cs="Times New Roman"/>
        </w:rPr>
        <w:t>部分考生习惯性地写出带有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下标的不可约表示</w:t>
      </w:r>
      <w:r>
        <w:rPr>
          <w:rFonts w:hint="eastAsia" w:ascii="Times New Roman" w:hAnsi="Times New Roman" w:eastAsia="Times New Roman" w:cs="Times New Roman"/>
        </w:rPr>
        <w:t>，</w:t>
      </w:r>
      <w:r>
        <w:rPr>
          <w:rFonts w:hint="eastAsia" w:ascii="Times New Roman" w:hAnsi="Times New Roman" w:eastAsia="FangSong" w:cs="Times New Roman"/>
        </w:rPr>
        <w:t>并错误得出</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跃迁禁阻</w:t>
      </w:r>
      <w:r>
        <w:rPr>
          <w:rFonts w:hint="eastAsia" w:ascii="Times New Roman" w:hAnsi="Times New Roman" w:eastAsia="Times New Roman" w:cs="Times New Roman"/>
        </w:rPr>
        <w:t>、</w:t>
      </w:r>
      <w:r>
        <w:rPr>
          <w:rFonts w:hint="eastAsia" w:ascii="Times New Roman" w:hAnsi="Times New Roman" w:eastAsia="FangSong" w:cs="Times New Roman"/>
        </w:rPr>
        <w:t>颜色微弱的荒谬结论</w:t>
      </w:r>
      <w:r>
        <w:rPr>
          <w:rFonts w:hint="eastAsia" w:ascii="Times New Roman" w:hAnsi="Times New Roman" w:eastAsia="Times New Roman" w:cs="Times New Roman"/>
        </w:rPr>
        <w:t>。</w:t>
      </w:r>
      <w:r>
        <w:rPr>
          <w:rFonts w:hint="eastAsia" w:ascii="Times New Roman" w:hAnsi="Times New Roman" w:eastAsia="FangSong" w:cs="Times New Roman"/>
        </w:rPr>
        <w:t>必须确立物理防线</w:t>
      </w:r>
      <w:r>
        <w:rPr>
          <w:rFonts w:hint="eastAsia" w:ascii="Times New Roman" w:hAnsi="Times New Roman" w:eastAsia="Times New Roman" w:cs="Times New Roman"/>
        </w:rPr>
        <w:t>：</w:t>
      </w:r>
      <w:r>
        <w:rPr>
          <w:rFonts w:hint="eastAsia" w:ascii="Times New Roman" w:hAnsi="Times New Roman" w:eastAsia="FangSong" w:cs="Times New Roman"/>
        </w:rPr>
        <w:t>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根本不存在反演中心</w:t>
      </w:r>
      <w:r>
        <w:rPr>
          <w:rFonts w:hint="eastAsia" w:ascii="Times New Roman" w:hAnsi="Times New Roman" w:eastAsia="Times New Roman" w:cs="Times New Roman"/>
        </w:rPr>
        <w:t>，</w:t>
      </w:r>
      <w:r>
        <w:rPr>
          <w:rFonts w:hint="eastAsia" w:ascii="Times New Roman" w:hAnsi="Times New Roman" w:eastAsia="FangSong" w:cs="Times New Roman"/>
        </w:rPr>
        <w:t>绝对禁止添加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宇称符号</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表示而发生强烈的静态杂化</w:t>
      </w:r>
      <w:r>
        <w:rPr>
          <w:rFonts w:hint="eastAsia" w:ascii="Times New Roman" w:hAnsi="Times New Roman" w:eastAsia="Times New Roman" w:cs="Times New Roman"/>
        </w:rPr>
        <w:t>，</w:t>
      </w:r>
      <w:r>
        <w:rPr>
          <w:rFonts w:hint="eastAsia" w:ascii="Times New Roman" w:hAnsi="Times New Roman" w:eastAsia="FangSong" w:cs="Times New Roman"/>
        </w:rPr>
        <w:t>其跃迁吸光系数比八面体高出数百倍</w:t>
      </w:r>
      <w:r>
        <w:rPr>
          <w:rFonts w:hint="eastAsia" w:ascii="Times New Roman" w:hAnsi="Times New Roman" w:eastAsia="Times New Roman" w:cs="Times New Roman"/>
        </w:rPr>
        <w:t>，</w:t>
      </w:r>
      <w:r>
        <w:rPr>
          <w:rFonts w:hint="eastAsia" w:ascii="Times New Roman" w:hAnsi="Times New Roman" w:eastAsia="FangSong" w:cs="Times New Roman"/>
        </w:rPr>
        <w:t>表现出深艳色彩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陷阱四</w:t>
      </w:r>
      <w:r>
        <w:rPr>
          <w:rFonts w:hint="eastAsia" w:ascii="Times New Roman" w:hAnsi="Times New Roman" w:eastAsia="Times New Roman" w:cs="Times New Roman"/>
        </w:rPr>
        <w:t>：</w:t>
      </w:r>
      <w:r>
        <w:rPr>
          <w:rFonts w:hint="eastAsia" w:ascii="Times New Roman" w:hAnsi="Times New Roman" w:eastAsia="FangSong" w:cs="Times New Roman"/>
        </w:rPr>
        <w:t>将深浓显色与微弱</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吸收混为一谈</w:t>
      </w:r>
      <w:r>
        <w:rPr>
          <w:rFonts w:hint="eastAsia" w:ascii="Times New Roman" w:hAnsi="Times New Roman" w:eastAsia="Times New Roman" w:cs="Times New Roman"/>
        </w:rPr>
        <w:t>。</w:t>
      </w:r>
      <w:r>
        <w:rPr>
          <w:rFonts w:hint="eastAsia" w:ascii="Times New Roman" w:hAnsi="Times New Roman" w:eastAsia="FangSong" w:cs="Times New Roman"/>
        </w:rPr>
        <w:t>见到深紫色的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鲜艳橙黄色的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或深红色的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考生极易盲目套用配位场裂距</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或晶体场稳定化能去解释其显色机制</w:t>
      </w:r>
      <w:r>
        <w:rPr>
          <w:rFonts w:hint="eastAsia" w:ascii="Times New Roman" w:hAnsi="Times New Roman" w:eastAsia="Times New Roman" w:cs="Times New Roman"/>
        </w:rPr>
        <w:t>。</w:t>
      </w:r>
      <w:r>
        <w:rPr>
          <w:rFonts w:hint="eastAsia" w:ascii="Times New Roman" w:hAnsi="Times New Roman" w:eastAsia="FangSong" w:cs="Times New Roman"/>
        </w:rPr>
        <w:t>必须时刻警惕电子组态</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均为净空的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根本不存在任何</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其深浓色彩纯粹源自配体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而低价芳香共轭配合物的深色则源自金属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二者摩尔吸光系数在</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尺度</w:t>
      </w:r>
      <w:r>
        <w:rPr>
          <w:rFonts w:hint="eastAsia" w:ascii="Times New Roman" w:hAnsi="Times New Roman" w:eastAsia="Times New Roman" w:cs="Times New Roman"/>
        </w:rPr>
        <w:t>，</w:t>
      </w:r>
      <w:r>
        <w:rPr>
          <w:rFonts w:hint="eastAsia" w:ascii="Times New Roman" w:hAnsi="Times New Roman" w:eastAsia="FangSong" w:cs="Times New Roman"/>
        </w:rPr>
        <w:t>与微弱的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跃迁存在数量级差异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陷阱五</w:t>
      </w:r>
      <w:r>
        <w:rPr>
          <w:rFonts w:hint="eastAsia" w:ascii="Times New Roman" w:hAnsi="Times New Roman" w:eastAsia="Times New Roman" w:cs="Times New Roman"/>
        </w:rPr>
        <w:t>：Tanabe-Sugano</w:t>
      </w:r>
      <w:r>
        <w:rPr>
          <w:rFonts w:ascii="Times New Roman" w:hAnsi="Times New Roman" w:eastAsia="Times New Roman" w:cs="Times New Roman"/>
        </w:rPr>
        <w:t xml:space="preserve"> </w:t>
      </w:r>
      <w:r>
        <w:rPr>
          <w:rFonts w:hint="eastAsia" w:ascii="Times New Roman" w:hAnsi="Times New Roman" w:eastAsia="FangSong" w:cs="Times New Roman"/>
        </w:rPr>
        <w:t>图中误将激发态曲线平移当成绝对轨道能级</w:t>
      </w:r>
      <w:r>
        <w:rPr>
          <w:rFonts w:hint="eastAsia" w:ascii="Times New Roman" w:hAnsi="Times New Roman" w:eastAsia="Times New Roman" w:cs="Times New Roman"/>
        </w:rPr>
        <w:t>。</w:t>
      </w:r>
      <w:r>
        <w:rPr>
          <w:rFonts w:hint="eastAsia" w:ascii="Times New Roman" w:hAnsi="Times New Roman" w:eastAsia="FangSong" w:cs="Times New Roman"/>
        </w:rPr>
        <w:t>在读取多电子</w:t>
      </w:r>
      <w:r>
        <w:rPr>
          <w:rFonts w:ascii="Times New Roman" w:hAnsi="Times New Roman" w:eastAsia="Times New Roman" w:cs="Times New Roman"/>
        </w:rPr>
        <w:t xml:space="preserve"> T-S </w:t>
      </w:r>
      <w:r>
        <w:rPr>
          <w:rFonts w:hint="eastAsia" w:ascii="Times New Roman" w:hAnsi="Times New Roman" w:eastAsia="FangSong" w:cs="Times New Roman"/>
        </w:rPr>
        <w:t>图时</w:t>
      </w:r>
      <w:r>
        <w:rPr>
          <w:rFonts w:hint="eastAsia" w:ascii="Times New Roman" w:hAnsi="Times New Roman" w:eastAsia="Times New Roman" w:cs="Times New Roman"/>
        </w:rPr>
        <w:t>，</w:t>
      </w:r>
      <w:r>
        <w:rPr>
          <w:rFonts w:hint="eastAsia" w:ascii="Times New Roman" w:hAnsi="Times New Roman" w:eastAsia="FangSong" w:cs="Times New Roman"/>
        </w:rPr>
        <w:t>忽视该图已将瞬时绝对热力学基态项强制固定为纵坐标水平零线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的画法约定</w:t>
      </w:r>
      <w:r>
        <w:rPr>
          <w:rFonts w:hint="eastAsia" w:ascii="Times New Roman" w:hAnsi="Times New Roman" w:eastAsia="Times New Roman" w:cs="Times New Roman"/>
        </w:rPr>
        <w:t>。</w:t>
      </w:r>
      <w:r>
        <w:rPr>
          <w:rFonts w:hint="eastAsia" w:ascii="Times New Roman" w:hAnsi="Times New Roman" w:eastAsia="FangSong" w:cs="Times New Roman"/>
        </w:rPr>
        <w:t>在分析高低自旋垂直相变线时</w:t>
      </w:r>
      <w:r>
        <w:rPr>
          <w:rFonts w:hint="eastAsia" w:ascii="Times New Roman" w:hAnsi="Times New Roman" w:eastAsia="Times New Roman" w:cs="Times New Roman"/>
        </w:rPr>
        <w:t>，</w:t>
      </w:r>
      <w:r>
        <w:rPr>
          <w:rFonts w:hint="eastAsia" w:ascii="Times New Roman" w:hAnsi="Times New Roman" w:eastAsia="FangSong" w:cs="Times New Roman"/>
        </w:rPr>
        <w:t>误认为激发态曲线的突然折折是激发态轨道自身势能发生了跃迁</w:t>
      </w:r>
      <w:r>
        <w:rPr>
          <w:rFonts w:hint="eastAsia" w:ascii="Times New Roman" w:hAnsi="Times New Roman" w:eastAsia="Times New Roman" w:cs="Times New Roman"/>
        </w:rPr>
        <w:t>，</w:t>
      </w:r>
      <w:r>
        <w:rPr>
          <w:rFonts w:hint="eastAsia" w:ascii="Times New Roman" w:hAnsi="Times New Roman" w:eastAsia="FangSong" w:cs="Times New Roman"/>
        </w:rPr>
        <w:t>而未能领悟这纯粹是由于基态项在相变点发生自旋重排导致坐标基准发生切换所引起的表观几何折折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陷阱六</w:t>
      </w:r>
      <w:r>
        <w:rPr>
          <w:rFonts w:hint="eastAsia" w:ascii="Times New Roman" w:hAnsi="Times New Roman" w:eastAsia="Times New Roman" w:cs="Times New Roman"/>
        </w:rPr>
        <w:t>：</w:t>
      </w:r>
      <w:r>
        <w:rPr>
          <w:rFonts w:hint="eastAsia" w:ascii="Times New Roman" w:hAnsi="Times New Roman" w:eastAsia="FangSong" w:cs="Times New Roman"/>
        </w:rPr>
        <w:t>误认为所有存在简并的体系都会发生强烈的宏观晶格畸变</w:t>
      </w:r>
      <w:r>
        <w:rPr>
          <w:rFonts w:hint="eastAsia" w:ascii="Times New Roman" w:hAnsi="Times New Roman" w:eastAsia="Times New Roman" w:cs="Times New Roman"/>
        </w:rPr>
        <w:t>。</w:t>
      </w:r>
      <w:r>
        <w:rPr>
          <w:rFonts w:hint="eastAsia" w:ascii="Times New Roman" w:hAnsi="Times New Roman" w:eastAsia="FangSong" w:cs="Times New Roman"/>
        </w:rPr>
        <w:t>混淆强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效应的适用边界</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效应严格局限于简并电子处于直接迎向配体的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而当简并仅存在于非键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1</m:t>
            </m:r>
          </m:sup>
        </m:sSup>
        <m:r>
          <m:rPr>
            <m:sty m:val="p"/>
          </m:rPr>
          <m:t>,</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电子云的不对称分布避开了配体轴</w:t>
      </w:r>
      <w:r>
        <w:rPr>
          <w:rFonts w:hint="eastAsia" w:ascii="Times New Roman" w:hAnsi="Times New Roman" w:eastAsia="Times New Roman" w:cs="Times New Roman"/>
        </w:rPr>
        <w:t>，</w:t>
      </w:r>
      <w:r>
        <w:rPr>
          <w:rFonts w:hint="eastAsia" w:ascii="Times New Roman" w:hAnsi="Times New Roman" w:eastAsia="FangSong" w:cs="Times New Roman"/>
        </w:rPr>
        <w:t>其微扰极其微弱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在常规单晶衍射测试中通常观测不到键长差异</w:t>
      </w:r>
      <w:r>
        <w:rPr>
          <w:rFonts w:hint="eastAsia" w:ascii="Times New Roman" w:hAnsi="Times New Roman" w:eastAsia="Times New Roman" w:cs="Times New Roman"/>
        </w:rPr>
        <w:t>，</w:t>
      </w:r>
      <w:r>
        <w:rPr>
          <w:rFonts w:hint="eastAsia" w:ascii="Times New Roman" w:hAnsi="Times New Roman" w:eastAsia="FangSong" w:cs="Times New Roman"/>
        </w:rPr>
        <w:t>切不可臆断其发生宏观拉长畸变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陷阱七</w:t>
      </w:r>
      <w:r>
        <w:rPr>
          <w:rFonts w:hint="eastAsia" w:ascii="Times New Roman" w:hAnsi="Times New Roman" w:eastAsia="Times New Roman" w:cs="Times New Roman"/>
        </w:rPr>
        <w:t>：</w:t>
      </w:r>
      <w:r>
        <w:rPr>
          <w:rFonts w:hint="eastAsia" w:ascii="Times New Roman" w:hAnsi="Times New Roman" w:eastAsia="FangSong" w:cs="Times New Roman"/>
        </w:rPr>
        <w:t>平面四方场分裂中将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误判为最高能量轨道</w:t>
      </w:r>
      <w:r>
        <w:rPr>
          <w:rFonts w:hint="eastAsia" w:ascii="Times New Roman" w:hAnsi="Times New Roman" w:eastAsia="Times New Roman" w:cs="Times New Roman"/>
        </w:rPr>
        <w:t>。</w:t>
      </w:r>
      <w:r>
        <w:rPr>
          <w:rFonts w:hint="eastAsia" w:ascii="Times New Roman" w:hAnsi="Times New Roman" w:eastAsia="FangSong" w:cs="Times New Roman"/>
        </w:rPr>
        <w:t>部分考生机械套用</w:t>
      </w:r>
      <w:r>
        <w:rPr>
          <w:rFonts w:hint="eastAsia" w:ascii="Times New Roman" w:hAnsi="Times New Roman" w:eastAsia="Times New Roman" w:cs="Times New Roman"/>
        </w:rPr>
        <w:t>“</w:t>
      </w:r>
      <w:r>
        <w:rPr>
          <w:rFonts w:hint="eastAsia" w:ascii="Times New Roman" w:hAnsi="Times New Roman" w:eastAsia="FangSong" w:cs="Times New Roman"/>
        </w:rPr>
        <w:t>哪轴压缩哪轴轨道升高</w:t>
      </w:r>
      <w:r>
        <w:rPr>
          <w:rFonts w:hint="eastAsia" w:ascii="Times New Roman" w:hAnsi="Times New Roman" w:eastAsia="Times New Roman" w:cs="Times New Roman"/>
        </w:rPr>
        <w:t>”</w:t>
      </w:r>
      <w:r>
        <w:rPr>
          <w:rFonts w:hint="eastAsia" w:ascii="Times New Roman" w:hAnsi="Times New Roman" w:eastAsia="FangSong" w:cs="Times New Roman"/>
        </w:rPr>
        <w:t>的经验口诀</w:t>
      </w:r>
      <w:r>
        <w:rPr>
          <w:rFonts w:hint="eastAsia" w:ascii="Times New Roman" w:hAnsi="Times New Roman" w:eastAsia="Times New Roman" w:cs="Times New Roman"/>
        </w:rPr>
        <w:t>，</w:t>
      </w:r>
      <w:r>
        <w:rPr>
          <w:rFonts w:hint="eastAsia" w:ascii="Times New Roman" w:hAnsi="Times New Roman" w:eastAsia="FangSong" w:cs="Times New Roman"/>
        </w:rPr>
        <w:t>误认为平面正方形构型是轴向压缩的产物</w:t>
      </w:r>
      <w:r>
        <w:rPr>
          <w:rFonts w:hint="eastAsia" w:ascii="Times New Roman" w:hAnsi="Times New Roman" w:eastAsia="Times New Roman" w:cs="Times New Roman"/>
        </w:rPr>
        <w:t>，</w:t>
      </w:r>
      <w:r>
        <w:rPr>
          <w:rFonts w:hint="eastAsia" w:ascii="Times New Roman" w:hAnsi="Times New Roman" w:eastAsia="FangSong" w:cs="Times New Roman"/>
        </w:rPr>
        <w:t>从而荒谬地将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标为最高能级</w:t>
      </w:r>
      <w:r>
        <w:rPr>
          <w:rFonts w:hint="eastAsia" w:ascii="Times New Roman" w:hAnsi="Times New Roman" w:eastAsia="Times New Roman" w:cs="Times New Roman"/>
        </w:rPr>
        <w:t>。</w:t>
      </w:r>
      <w:r>
        <w:rPr>
          <w:rFonts w:hint="eastAsia" w:ascii="Times New Roman" w:hAnsi="Times New Roman" w:eastAsia="FangSong" w:cs="Times New Roman"/>
        </w:rPr>
        <w:t>必须明确微观演化事实</w:t>
      </w:r>
      <w:r>
        <w:rPr>
          <w:rFonts w:hint="eastAsia" w:ascii="Times New Roman" w:hAnsi="Times New Roman" w:eastAsia="Times New Roman" w:cs="Times New Roman"/>
        </w:rPr>
        <w:t>：</w:t>
      </w:r>
      <w:r>
        <w:rPr>
          <w:rFonts w:hint="eastAsia" w:ascii="Times New Roman" w:hAnsi="Times New Roman" w:eastAsia="FangSong" w:cs="Times New Roman"/>
        </w:rPr>
        <w:t>平面正方形是八面体沿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轴无限拉伸至两个轴向配体彻底解离的极限产物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轴方向上已完全无配体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轴分量的轨道能级暴跌</w:t>
      </w:r>
      <w:r>
        <w:rPr>
          <w:rFonts w:hint="eastAsia" w:ascii="Times New Roman" w:hAnsi="Times New Roman" w:eastAsia="Times New Roman" w:cs="Times New Roman"/>
        </w:rPr>
        <w:t>，</w:t>
      </w:r>
      <w:r>
        <w:rPr>
          <w:rFonts w:hint="eastAsia" w:ascii="Times New Roman" w:hAnsi="Times New Roman" w:eastAsia="FangSong" w:cs="Times New Roman"/>
        </w:rPr>
        <w:t>而赤道平面四个配体对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产生最极致的反键排斥</w:t>
      </w:r>
      <w:r>
        <w:rPr>
          <w:rFonts w:hint="eastAsia" w:ascii="Times New Roman" w:hAnsi="Times New Roman" w:eastAsia="Times New Roman" w:cs="Times New Roman"/>
        </w:rPr>
        <w:t>，</w:t>
      </w:r>
      <w:r>
        <w:rPr>
          <w:rFonts w:hint="eastAsia" w:ascii="Times New Roman" w:hAnsi="Times New Roman" w:eastAsia="FangSong" w:cs="Times New Roman"/>
        </w:rPr>
        <w:t>因此最高能量轨道必须永远毫无争议地是</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陷阱八</w:t>
      </w:r>
      <w:r>
        <w:rPr>
          <w:rFonts w:hint="eastAsia" w:ascii="Times New Roman" w:hAnsi="Times New Roman" w:eastAsia="Times New Roman" w:cs="Times New Roman"/>
        </w:rPr>
        <w:t>：</w:t>
      </w:r>
      <w:r>
        <w:rPr>
          <w:rFonts w:hint="eastAsia" w:ascii="Times New Roman" w:hAnsi="Times New Roman" w:eastAsia="FangSong" w:cs="Times New Roman"/>
        </w:rPr>
        <w:t>计算分裂能时忽视多电子排斥拉卡参数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的共价缩减</w:t>
      </w:r>
      <w:r>
        <w:rPr>
          <w:rFonts w:hint="eastAsia" w:ascii="Times New Roman" w:hAnsi="Times New Roman" w:eastAsia="Times New Roman" w:cs="Times New Roman"/>
        </w:rPr>
        <w:t>。</w:t>
      </w:r>
      <w:r>
        <w:rPr>
          <w:rFonts w:hint="eastAsia" w:ascii="Times New Roman" w:hAnsi="Times New Roman" w:eastAsia="FangSong" w:cs="Times New Roman"/>
        </w:rPr>
        <w:t>自由金属离子的气相拉卡参数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是纯原子常数</w:t>
      </w:r>
      <w:r>
        <w:rPr>
          <w:rFonts w:hint="eastAsia" w:ascii="Times New Roman" w:hAnsi="Times New Roman" w:eastAsia="Times New Roman" w:cs="Times New Roman"/>
        </w:rPr>
        <w:t>。</w:t>
      </w:r>
      <w:r>
        <w:rPr>
          <w:rFonts w:hint="eastAsia" w:ascii="Times New Roman" w:hAnsi="Times New Roman" w:eastAsia="FangSong" w:cs="Times New Roman"/>
        </w:rPr>
        <w:t>但在形成配合物后</w:t>
      </w:r>
      <w:r>
        <w:rPr>
          <w:rFonts w:hint="eastAsia" w:ascii="Times New Roman" w:hAnsi="Times New Roman" w:eastAsia="Times New Roman" w:cs="Times New Roman"/>
        </w:rPr>
        <w:t>，</w:t>
      </w:r>
      <w:r>
        <w:rPr>
          <w:rFonts w:hint="eastAsia" w:ascii="Times New Roman" w:hAnsi="Times New Roman" w:eastAsia="FangSong" w:cs="Times New Roman"/>
        </w:rPr>
        <w:t>由于配体孤对电子的共价混杂与电子云膨胀效应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轨道的有效电荷扩展</w:t>
      </w:r>
      <w:r>
        <w:rPr>
          <w:rFonts w:hint="eastAsia" w:ascii="Times New Roman" w:hAnsi="Times New Roman" w:eastAsia="Times New Roman" w:cs="Times New Roman"/>
        </w:rPr>
        <w:t>，</w:t>
      </w:r>
      <w:r>
        <w:rPr>
          <w:rFonts w:hint="eastAsia" w:ascii="Times New Roman" w:hAnsi="Times New Roman" w:eastAsia="FangSong" w:cs="Times New Roman"/>
        </w:rPr>
        <w:t>电子间相互排斥显著弱化</w:t>
      </w:r>
      <w:r>
        <w:rPr>
          <w:rFonts w:hint="eastAsia" w:ascii="Times New Roman" w:hAnsi="Times New Roman" w:eastAsia="Times New Roman" w:cs="Times New Roman"/>
        </w:rPr>
        <w:t>，</w:t>
      </w:r>
      <w:r>
        <w:rPr>
          <w:rFonts w:hint="eastAsia" w:ascii="Times New Roman" w:hAnsi="Times New Roman" w:eastAsia="FangSong" w:cs="Times New Roman"/>
        </w:rPr>
        <w:t>实际拉卡参数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普遍只有自由离子的</w:t>
      </w:r>
      <w:r>
        <w:rPr>
          <w:rFonts w:ascii="Times New Roman" w:hAnsi="Times New Roman" w:eastAsia="Times New Roman" w:cs="Times New Roman"/>
        </w:rPr>
        <w:t xml:space="preserve"> </w:t>
      </w:r>
      <m:oMath>
        <m:oMathPr>
          <m:ctrlPr>
            <w:rPr>
              <w:sz w:val="28"/>
              <w:szCs w:val="28"/>
            </w:rPr>
          </m:ctrlPr>
        </m:oMathPr>
        <m:r>
          <m:t>60</m:t>
        </m:r>
        <m:r>
          <m:rPr>
            <m:sty m:val="p"/>
          </m:rPr>
          <m:t>%</m:t>
        </m:r>
        <m:r>
          <m:rPr>
            <m:sty m:val="p"/>
          </m:rPr>
          <m:t>∼</m:t>
        </m:r>
        <m:r>
          <m:t>80</m:t>
        </m:r>
        <m:r>
          <m:rPr>
            <m:sty m:val="p"/>
          </m:rPr>
          <m:t>%</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在运用光谱数据反演配位场强时</w:t>
      </w:r>
      <w:r>
        <w:rPr>
          <w:rFonts w:hint="eastAsia" w:ascii="Times New Roman" w:hAnsi="Times New Roman" w:eastAsia="Times New Roman" w:cs="Times New Roman"/>
        </w:rPr>
        <w:t>，</w:t>
      </w:r>
      <w:r>
        <w:rPr>
          <w:rFonts w:hint="eastAsia" w:ascii="Times New Roman" w:hAnsi="Times New Roman" w:eastAsia="FangSong" w:cs="Times New Roman"/>
        </w:rPr>
        <w:t>若直接代入自由离子</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必将导致计算结果产生严重的系统偏差</w:t>
      </w:r>
      <w:r>
        <w:rPr>
          <w:rFonts w:hint="eastAsia" w:ascii="Times New Roman" w:hAnsi="Times New Roman" w:eastAsia="Times New Roman" w:cs="Times New Roman"/>
        </w:rPr>
        <w:t>。</w:t>
      </w:r>
    </w:p>
    <w:bookmarkEnd w:id="94"/>
    <w:bookmarkStart w:id="95"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水溶液在肉眼观察下呈现出极其微弱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其稀水溶液呈现极其夺目鲜艳的深紫黑色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请从下列两个对称性与轨道理论角度深入剖析吸光系数暴增的微观根源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而且几乎所有激发态曲线的斜率均发生极其剧烈的向下或向上折折突变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该配合物在水溶液中呈现极其深艳浓郁的深橙红色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测得该配合物在可见光区的吸收峰呈现出极其显著的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55" Type="http://schemas.openxmlformats.org/officeDocument/2006/relationships/image" Target="media/rId55.jpg"/><Relationship Id="rId52" Type="http://schemas.openxmlformats.org/officeDocument/2006/relationships/image" Target="media/rId52.jpg"/><Relationship Id="rId81" Type="http://schemas.openxmlformats.org/officeDocument/2006/relationships/image" Target="media/rId81.jpg"/><Relationship Id="rId33" Type="http://schemas.openxmlformats.org/officeDocument/2006/relationships/image" Target="media/rId33.jpg"/><Relationship Id="rId39" Type="http://schemas.openxmlformats.org/officeDocument/2006/relationships/image" Target="media/rId39.jpg"/><Relationship Id="rId22" Type="http://schemas.openxmlformats.org/officeDocument/2006/relationships/image" Target="media/rId22.jpg"/><Relationship Id="rId36" Type="http://schemas.openxmlformats.org/officeDocument/2006/relationships/image" Target="media/rId36.jpg"/><Relationship Id="rId49" Type="http://schemas.openxmlformats.org/officeDocument/2006/relationships/image" Target="media/rId49.jpg"/><Relationship Id="rId84" Type="http://schemas.openxmlformats.org/officeDocument/2006/relationships/image" Target="media/rId84.jpg"/><Relationship Id="rId69" Type="http://schemas.openxmlformats.org/officeDocument/2006/relationships/image" Target="media/rId69.jpg"/><Relationship Id="rId78" Type="http://schemas.openxmlformats.org/officeDocument/2006/relationships/image" Target="media/rId78.jpg"/><Relationship Id="rId13" Type="http://schemas.openxmlformats.org/officeDocument/2006/relationships/image" Target="media/rId13.png"/><Relationship Id="rId26" Type="http://schemas.openxmlformats.org/officeDocument/2006/relationships/image" Target="media/rId26.jpg"/><Relationship Id="rId16" Type="http://schemas.openxmlformats.org/officeDocument/2006/relationships/image" Target="media/rId16.png"/><Relationship Id="rId29" Type="http://schemas.openxmlformats.org/officeDocument/2006/relationships/image" Target="media/rId29.jpg"/><Relationship Id="rId90" Type="http://schemas.openxmlformats.org/officeDocument/2006/relationships/image" Target="media/rId90.jpg"/><Relationship Id="rId74" Type="http://schemas.openxmlformats.org/officeDocument/2006/relationships/image" Target="media/rId74.png"/><Relationship Id="rId10" Type="http://schemas.openxmlformats.org/officeDocument/2006/relationships/image" Target="media/rId10.jpg"/><Relationship Id="rId45" Type="http://schemas.openxmlformats.org/officeDocument/2006/relationships/image" Target="media/rId45.jpg"/><Relationship Id="rId65" Type="http://schemas.openxmlformats.org/officeDocument/2006/relationships/image" Target="media/rId65.png"/><Relationship Id="rId61" Type="http://schemas.openxmlformats.org/officeDocument/2006/relationships/image" Target="media/rId61.png"/><Relationship Id="rId87" Type="http://schemas.openxmlformats.org/officeDocument/2006/relationships/image" Target="media/rId87.jpg"/><Relationship Id="rId42" Type="http://schemas.openxmlformats.org/officeDocument/2006/relationships/image" Target="media/rId42.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2026-09-29T03:15:27Z</dcterms:created>
  <dcterms:modified xsi:type="dcterms:W3CDTF">2026-09-29T03:15:27Z</dcterms:modified>
</cp:coreProperties>
</file>

<file path=docProps/custom.xml><?xml version="1.0" encoding="utf-8"?>
<Properties xmlns="http://schemas.openxmlformats.org/officeDocument/2006/custom-properties" xmlns:vt="http://schemas.openxmlformats.org/officeDocument/2006/docPropsVTypes"/>
</file>