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配位键与命名</w:t>
            </w:r>
          </w:p>
        </w:tc>
        <w:tc>
          <w:tcPr/>
          <w:p>
            <w:pPr>
              <w:pStyle w:val="Compact"/>
              <w:jc w:val="cente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Lewis </w:t>
            </w:r>
            <w:r>
              <w:rPr>
                <w:rFonts w:hint="eastAsia" w:ascii="Times New Roman" w:hAnsi="Times New Roman" w:eastAsia="FangSong" w:cs="Times New Roman"/>
              </w:rPr>
              <w:t>酸碱配位本质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规则系统命名配合物</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螯合与大环效应</w:t>
            </w:r>
          </w:p>
        </w:tc>
        <w:tc>
          <w:tcPr/>
          <w:p>
            <w:pPr>
              <w:pStyle w:val="Compact"/>
              <w:jc w:val="center"/>
            </w:pPr>
            <w:r>
              <w:rPr>
                <w:rFonts w:hint="eastAsia" w:ascii="Times New Roman" w:hAnsi="Times New Roman" w:eastAsia="FangSong" w:cs="Times New Roman"/>
              </w:rPr>
              <w:t xml:space="preserve">由构型熵与去溶剂化解释螯合效应与大环效应的热力学驱动</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配位几何与异构</w:t>
            </w:r>
          </w:p>
        </w:tc>
        <w:tc>
          <w:tcPr/>
          <w:p>
            <w:pPr>
              <w:pStyle w:val="Compact"/>
              <w:jc w:val="center"/>
            </w:pPr>
            <w:r>
              <w:rPr>
                <w:rFonts w:hint="eastAsia" w:ascii="Times New Roman" w:hAnsi="Times New Roman" w:eastAsia="FangSong" w:cs="Times New Roman"/>
              </w:rPr>
              <w:t xml:space="preserve">判定</w:t>
            </w:r>
            <w:r>
              <w:rPr>
                <w:rFonts w:ascii="Times New Roman" w:hAnsi="Times New Roman" w:eastAsia="Times New Roman" w:cs="Times New Roman"/>
              </w:rPr>
              <w:t xml:space="preserve"> 2~8 </w:t>
            </w:r>
            <w:r>
              <w:rPr>
                <w:rFonts w:hint="eastAsia" w:ascii="Times New Roman" w:hAnsi="Times New Roman" w:eastAsia="FangSong" w:cs="Times New Roman"/>
              </w:rPr>
              <w:t>配位多面体构型</w:t>
            </w:r>
            <w:r>
              <w:rPr>
                <w:rFonts w:hint="eastAsia" w:ascii="Times New Roman" w:hAnsi="Times New Roman" w:eastAsia="Times New Roman" w:cs="Times New Roman"/>
              </w:rPr>
              <w:t>，</w:t>
            </w:r>
            <w:r>
              <w:rPr>
                <w:rFonts w:hint="eastAsia" w:ascii="Times New Roman" w:hAnsi="Times New Roman" w:eastAsia="FangSong" w:cs="Times New Roman"/>
              </w:rPr>
              <w:t>系统枚举几何异构与手性对映体</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价键理论与晶体场</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VBT </w:t>
            </w:r>
            <w:r>
              <w:rPr>
                <w:rFonts w:hint="eastAsia" w:ascii="Times New Roman" w:hAnsi="Times New Roman" w:eastAsia="FangSong" w:cs="Times New Roman"/>
              </w:rPr>
              <w:t>判内</w:t>
            </w:r>
            <w:r>
              <w:rPr>
                <w:rFonts w:hint="eastAsia" w:ascii="Times New Roman" w:hAnsi="Times New Roman" w:eastAsia="Times New Roman" w:cs="Times New Roman"/>
              </w:rPr>
              <w:t>/</w:t>
            </w:r>
            <w:r>
              <w:rPr>
                <w:rFonts w:hint="eastAsia" w:ascii="Times New Roman" w:hAnsi="Times New Roman" w:eastAsia="FangSong" w:cs="Times New Roman"/>
              </w:rPr>
              <w:t>外轨型与磁矩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CFT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CFSE</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稳定性与</w:t>
            </w:r>
            <w:r>
              <w:rPr>
                <w:rFonts w:ascii="Times New Roman" w:hAnsi="Times New Roman" w:eastAsia="Times New Roman" w:cs="Times New Roman"/>
              </w:rPr>
              <w:t xml:space="preserve"> HSAB</w:t>
            </w:r>
          </w:p>
        </w:tc>
        <w:tc>
          <w:tcPr/>
          <w:p>
            <w:pPr>
              <w:pStyle w:val="Compact"/>
              <w:jc w:val="center"/>
            </w:pPr>
            <w:r>
              <w:rPr>
                <w:rFonts w:hint="eastAsia" w:ascii="Times New Roman" w:hAnsi="Times New Roman" w:eastAsia="FangSong" w:cs="Times New Roman"/>
              </w:rPr>
              <w:t>由逐级稳定常数分析配位平衡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原理判断配位选择性</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键解释金属羰基成键并应用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结构组成与系统命名</w:t>
            </w:r>
          </w:p>
        </w:tc>
        <w:tc>
          <w:tcPr/>
          <w:p>
            <w:pPr>
              <w:pStyle w:val="Compact"/>
              <w:jc w:val="center"/>
            </w:pPr>
            <w:r>
              <w:rPr>
                <w:rFonts w:hint="eastAsia" w:ascii="Times New Roman" w:hAnsi="Times New Roman" w:eastAsia="FangSong" w:cs="Times New Roman"/>
              </w:rPr>
              <w:t xml:space="preserve">深刻掌握配位键的</w:t>
            </w:r>
            <w:r>
              <w:rPr>
                <w:rFonts w:ascii="Times New Roman" w:hAnsi="Times New Roman" w:eastAsia="Times New Roman" w:cs="Times New Roman"/>
              </w:rPr>
              <w:t xml:space="preserve"> Lewis </w:t>
            </w:r>
            <w:r>
              <w:rPr>
                <w:rFonts w:hint="eastAsia" w:ascii="Times New Roman" w:hAnsi="Times New Roman" w:eastAsia="FangSong" w:cs="Times New Roman"/>
              </w:rPr>
              <w:t>酸碱相互作用微观本质</w:t>
            </w:r>
            <w:r>
              <w:rPr>
                <w:rFonts w:hint="eastAsia" w:ascii="Times New Roman" w:hAnsi="Times New Roman" w:eastAsia="Times New Roman" w:cs="Times New Roman"/>
              </w:rPr>
              <w:t>；</w:t>
            </w:r>
            <w:r>
              <w:rPr>
                <w:rFonts w:hint="eastAsia" w:ascii="Times New Roman" w:hAnsi="Times New Roman" w:eastAsia="FangSong" w:cs="Times New Roman"/>
              </w:rPr>
              <w:t>精通现代</w:t>
            </w:r>
            <w:r>
              <w:rPr>
                <w:rFonts w:ascii="Times New Roman" w:hAnsi="Times New Roman" w:eastAsia="Times New Roman" w:cs="Times New Roman"/>
              </w:rPr>
              <w:t xml:space="preserve"> IUPAC </w:t>
            </w:r>
            <w:r>
              <w:rPr>
                <w:rFonts w:hint="eastAsia" w:ascii="Times New Roman" w:hAnsi="Times New Roman" w:eastAsia="FangSong" w:cs="Times New Roman"/>
              </w:rPr>
              <w:t>系统命名法则</w:t>
            </w:r>
            <w:r>
              <w:rPr>
                <w:rFonts w:hint="eastAsia" w:ascii="Times New Roman" w:hAnsi="Times New Roman" w:eastAsia="Times New Roman" w:cs="Times New Roman"/>
              </w:rPr>
              <w:t>（</w:t>
            </w:r>
            <w:r>
              <w:rPr>
                <w:rFonts w:hint="eastAsia" w:ascii="Times New Roman" w:hAnsi="Times New Roman" w:eastAsia="FangSong" w:cs="Times New Roman"/>
              </w:rPr>
              <w:t>涵盖单齿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中性配体排序</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桥联与</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键合位点标定</w:t>
            </w:r>
            <w:r>
              <w:rPr>
                <w:rFonts w:hint="eastAsia" w:ascii="Times New Roman" w:hAnsi="Times New Roman" w:eastAsia="Times New Roman" w:cs="Times New Roman"/>
              </w:rPr>
              <w:t>）；</w:t>
            </w:r>
            <w:r>
              <w:rPr>
                <w:rFonts w:hint="eastAsia" w:ascii="Times New Roman" w:hAnsi="Times New Roman" w:eastAsia="FangSong" w:cs="Times New Roman"/>
              </w:rPr>
              <w:t>掌握多齿配体螯合效应的热力学与构型熵驱动机理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配位构型与立体异构</w:t>
            </w:r>
          </w:p>
        </w:tc>
        <w:tc>
          <w:tcPr/>
          <w:p>
            <w:pPr>
              <w:pStyle w:val="Compact"/>
              <w:jc w:val="center"/>
            </w:pPr>
            <w:r>
              <w:rPr>
                <w:rFonts w:hint="eastAsia" w:ascii="Times New Roman" w:hAnsi="Times New Roman" w:eastAsia="FangSong" w:cs="Times New Roman"/>
              </w:rPr>
              <w:t xml:space="preserve">熟练判定从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配位配合物的立体几何多面体构型</w:t>
            </w:r>
            <w:r>
              <w:rPr>
                <w:rFonts w:hint="eastAsia" w:ascii="Times New Roman" w:hAnsi="Times New Roman" w:eastAsia="Times New Roman" w:cs="Times New Roman"/>
              </w:rPr>
              <w:t>；</w:t>
            </w:r>
            <w:r>
              <w:rPr>
                <w:rFonts w:hint="eastAsia" w:ascii="Times New Roman" w:hAnsi="Times New Roman" w:eastAsia="FangSong" w:cs="Times New Roman"/>
              </w:rPr>
              <w:t>精通顺反异构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经式异构</w:t>
            </w:r>
            <w:r>
              <w:rPr>
                <w:rFonts w:hint="eastAsia" w:ascii="Times New Roman" w:hAnsi="Times New Roman" w:eastAsia="Times New Roman" w:cs="Times New Roman"/>
              </w:rPr>
              <w:t>、</w:t>
            </w:r>
            <w:r>
              <w:rPr>
                <w:rFonts w:hint="eastAsia" w:ascii="Times New Roman" w:hAnsi="Times New Roman" w:eastAsia="FangSong" w:cs="Times New Roman"/>
              </w:rPr>
              <w:t>多齿螯合手性对映体</w:t>
            </w:r>
            <w:r>
              <w:rPr>
                <w:rFonts w:hint="eastAsia" w:ascii="Times New Roman" w:hAnsi="Times New Roman" w:eastAsia="Times New Roman" w:cs="Times New Roman"/>
              </w:rPr>
              <w:t>（</w:t>
            </w:r>
            <m:oMath>
              <m:r>
                <m:rPr>
                  <m:sty m:val="p"/>
                </m:rPr>
                <m:t>Δ</m:t>
              </m:r>
              <m:r>
                <m:rPr>
                  <m:sty m:val="p"/>
                </m:rPr>
                <m:t>/</m:t>
              </m:r>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以及结构异构</w:t>
            </w:r>
            <w:r>
              <w:rPr>
                <w:rFonts w:hint="eastAsia" w:ascii="Times New Roman" w:hAnsi="Times New Roman" w:eastAsia="Times New Roman" w:cs="Times New Roman"/>
              </w:rPr>
              <w:t>（</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w:t>
            </w:r>
            <w:r>
              <w:rPr>
                <w:rFonts w:hint="eastAsia" w:ascii="Times New Roman" w:hAnsi="Times New Roman" w:eastAsia="FangSong" w:cs="Times New Roman"/>
              </w:rPr>
              <w:t>的系统性拆解与立体枚举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晶体场分裂与反馈成键</w:t>
            </w:r>
          </w:p>
        </w:tc>
        <w:tc>
          <w:tcPr/>
          <w:p>
            <w:pPr>
              <w:pStyle w:val="Compact"/>
              <w:jc w:val="center"/>
            </w:pPr>
            <w:r>
              <w:rPr>
                <w:rFonts w:hint="eastAsia" w:ascii="Times New Roman" w:hAnsi="Times New Roman" w:eastAsia="FangSong" w:cs="Times New Roman"/>
              </w:rPr>
              <w:t>熟练推导八面体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轨道的能级分裂与</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掌握高</w:t>
            </w:r>
            <w:r>
              <w:rPr>
                <w:rFonts w:hint="eastAsia" w:ascii="Times New Roman" w:hAnsi="Times New Roman" w:eastAsia="Times New Roman" w:cs="Times New Roman"/>
              </w:rPr>
              <w:t>/</w:t>
            </w:r>
            <w:r>
              <w:rPr>
                <w:rFonts w:hint="eastAsia" w:ascii="Times New Roman" w:hAnsi="Times New Roman" w:eastAsia="FangSong" w:cs="Times New Roman"/>
              </w:rPr>
              <w:t>低自旋竞争与磁性</w:t>
            </w:r>
            <w:r>
              <w:rPr>
                <w:rFonts w:hint="eastAsia" w:ascii="Times New Roman" w:hAnsi="Times New Roman" w:eastAsia="Times New Roman" w:cs="Times New Roman"/>
              </w:rPr>
              <w:t>/</w:t>
            </w:r>
            <w:r>
              <w:rPr>
                <w:rFonts w:hint="eastAsia" w:ascii="Times New Roman" w:hAnsi="Times New Roman" w:eastAsia="FangSong" w:cs="Times New Roman"/>
              </w:rPr>
              <w:t>颜色吸收规律</w:t>
            </w:r>
            <w:r>
              <w:rPr>
                <w:rFonts w:hint="eastAsia" w:ascii="Times New Roman" w:hAnsi="Times New Roman" w:eastAsia="Times New Roman" w:cs="Times New Roman"/>
              </w:rPr>
              <w:t>；</w:t>
            </w:r>
            <w:r>
              <w:rPr>
                <w:rFonts w:hint="eastAsia" w:ascii="Times New Roman" w:hAnsi="Times New Roman" w:eastAsia="FangSong" w:cs="Times New Roman"/>
              </w:rPr>
              <w:t>深刻理解金属羰基化合物</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反馈键协同机制及</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19"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95530"/>
            <wp:effectExtent b="0" l="0" r="0" t="0"/>
            <wp:docPr descr="" title="" id="11" name="Picture"/>
            <a:graphic>
              <a:graphicData uri="http://schemas.openxmlformats.org/drawingml/2006/picture">
                <pic:pic>
                  <pic:nvPicPr>
                    <pic:cNvPr descr="523ba0fa2b9496617d3aa3e4f7af603bf4df2069d6a528e9468e99ccc48ed903.jpg" id="12" name="Picture"/>
                    <pic:cNvPicPr>
                      <a:picLocks noChangeArrowheads="1" noChangeAspect="1"/>
                    </pic:cNvPicPr>
                  </pic:nvPicPr>
                  <pic:blipFill>
                    <a:blip r:embed="rId10"/>
                    <a:stretch>
                      <a:fillRect/>
                    </a:stretch>
                  </pic:blipFill>
                  <pic:spPr bwMode="auto">
                    <a:xfrm>
                      <a:off x="0" y="0"/>
                      <a:ext cx="2667000" cy="19955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p>
      <w:pPr>
        <w:pStyle w:val="BodyText"/>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82702"/>
            <wp:effectExtent b="0" l="0" r="0" t="0"/>
            <wp:docPr descr="" title="" id="14" name="Picture"/>
            <a:graphic>
              <a:graphicData uri="http://schemas.openxmlformats.org/drawingml/2006/picture">
                <pic:pic>
                  <pic:nvPicPr>
                    <pic:cNvPr descr="b32a0ace276c8386086d52fbf9ce694176cbbd054d3297538a9191abf47b2574.jpg" id="15" name="Picture"/>
                    <pic:cNvPicPr>
                      <a:picLocks noChangeArrowheads="1" noChangeAspect="1"/>
                    </pic:cNvPicPr>
                  </pic:nvPicPr>
                  <pic:blipFill>
                    <a:blip r:embed="rId13"/>
                    <a:stretch>
                      <a:fillRect/>
                    </a:stretch>
                  </pic:blipFill>
                  <pic:spPr bwMode="auto">
                    <a:xfrm>
                      <a:off x="0" y="0"/>
                      <a:ext cx="2667000" cy="482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p>
      <w:pPr>
        <w:pStyle w:val="BodyText"/>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0709"/>
            <wp:effectExtent b="0" l="0" r="0" t="0"/>
            <wp:docPr descr="" title="" id="17" name="Picture"/>
            <a:graphic>
              <a:graphicData uri="http://schemas.openxmlformats.org/drawingml/2006/picture">
                <pic:pic>
                  <pic:nvPicPr>
                    <pic:cNvPr descr="9dc05edebcd5c77b5243059af9b209965767aeb34d1fe9eacd24e1e3dd367d21.jpg" id="18" name="Picture"/>
                    <pic:cNvPicPr>
                      <a:picLocks noChangeArrowheads="1" noChangeAspect="1"/>
                    </pic:cNvPicPr>
                  </pic:nvPicPr>
                  <pic:blipFill>
                    <a:blip r:embed="rId16"/>
                    <a:stretch>
                      <a:fillRect/>
                    </a:stretch>
                  </pic:blipFill>
                  <pic:spPr bwMode="auto">
                    <a:xfrm>
                      <a:off x="0" y="0"/>
                      <a:ext cx="2667000" cy="10607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p>
      <w:pPr>
        <w:spacing w:before="160" w:after="80"/>
      </w:pPr>
      <w:r>
        <w:pict>
          <v:rect style="width:0;height:1.5pt" o:hralign="center" o:hrstd="t" o:hr="t"/>
        </w:pict>
      </w:r>
    </w:p>
    <w:bookmarkEnd w:id="19"/>
    <w:bookmarkStart w:id="26"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键角极为契合各杂化轨道的自然伸展方向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07227"/>
            <wp:effectExtent b="0" l="0" r="0" t="0"/>
            <wp:docPr descr="" title="" id="21" name="Picture"/>
            <a:graphic>
              <a:graphicData uri="http://schemas.openxmlformats.org/drawingml/2006/picture">
                <pic:pic>
                  <pic:nvPicPr>
                    <pic:cNvPr descr="3bf42e081ec46738ba851c1fd3200dd41a318d882b77b542f5fb9d4dc6cdd39b.jpg" id="22" name="Picture"/>
                    <pic:cNvPicPr>
                      <a:picLocks noChangeArrowheads="1" noChangeAspect="1"/>
                    </pic:cNvPicPr>
                  </pic:nvPicPr>
                  <pic:blipFill>
                    <a:blip r:embed="rId20"/>
                    <a:stretch>
                      <a:fillRect/>
                    </a:stretch>
                  </pic:blipFill>
                  <pic:spPr bwMode="auto">
                    <a:xfrm>
                      <a:off x="0" y="0"/>
                      <a:ext cx="2667000" cy="9072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从而在宏观上赋予了螯合物极其强大的热力学稳定常数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51500"/>
            <wp:effectExtent b="0" l="0" r="0" t="0"/>
            <wp:docPr descr="" title="" id="24" name="Picture"/>
            <a:graphic>
              <a:graphicData uri="http://schemas.openxmlformats.org/drawingml/2006/picture">
                <pic:pic>
                  <pic:nvPicPr>
                    <pic:cNvPr descr="481d8189d74f7a55bcddd2afb9c2f7512908a66b9222e0b1f207af6f212f4724.jpg" id="25" name="Picture"/>
                    <pic:cNvPicPr>
                      <a:picLocks noChangeArrowheads="1" noChangeAspect="1"/>
                    </pic:cNvPicPr>
                  </pic:nvPicPr>
                  <pic:blipFill>
                    <a:blip r:embed="rId23"/>
                    <a:stretch>
                      <a:fillRect/>
                    </a:stretch>
                  </pic:blipFill>
                  <pic:spPr bwMode="auto">
                    <a:xfrm>
                      <a:off x="0" y="0"/>
                      <a:ext cx="2667000" cy="185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p>
      <w:pPr>
        <w:pStyle w:val="BodyText"/>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6"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极为罕见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10653"/>
            <wp:effectExtent b="0" l="0" r="0" t="0"/>
            <wp:docPr descr="" title="" id="28" name="Picture"/>
            <a:graphic>
              <a:graphicData uri="http://schemas.openxmlformats.org/drawingml/2006/picture">
                <pic:pic>
                  <pic:nvPicPr>
                    <pic:cNvPr descr="09afcfd50bd7af101f6146a109ed4a36ec979464fdc5e0c11be9c342356d0c0f.jpg" id="29" name="Picture"/>
                    <pic:cNvPicPr>
                      <a:picLocks noChangeArrowheads="1" noChangeAspect="1"/>
                    </pic:cNvPicPr>
                  </pic:nvPicPr>
                  <pic:blipFill>
                    <a:blip r:embed="rId27"/>
                    <a:stretch>
                      <a:fillRect/>
                    </a:stretch>
                  </pic:blipFill>
                  <pic:spPr bwMode="auto">
                    <a:xfrm>
                      <a:off x="0" y="0"/>
                      <a:ext cx="2667000" cy="1310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离子在平面正方形配位场中能够获得极其巨大的晶体场稳定化能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31" name="Picture"/>
            <a:graphic>
              <a:graphicData uri="http://schemas.openxmlformats.org/drawingml/2006/picture">
                <pic:pic>
                  <pic:nvPicPr>
                    <pic:cNvPr descr="920cf46c8a697683f18fa09937351bc4fd62b794adef3d5a8af4045b016e9b77.png" id="32" name="Picture"/>
                    <pic:cNvPicPr>
                      <a:picLocks noChangeArrowheads="1" noChangeAspect="1"/>
                    </pic:cNvPicPr>
                  </pic:nvPicPr>
                  <pic:blipFill>
                    <a:blip r:embed="rId30"/>
                    <a:stretch>
                      <a:fillRect/>
                    </a:stretch>
                  </pic:blipFill>
                  <pic:spPr bwMode="auto">
                    <a:xfrm>
                      <a:off x="0" y="0"/>
                      <a:ext cx="2667000" cy="30229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87564"/>
            <wp:effectExtent b="0" l="0" r="0" t="0"/>
            <wp:docPr descr="" title="" id="34" name="Picture"/>
            <a:graphic>
              <a:graphicData uri="http://schemas.openxmlformats.org/drawingml/2006/picture">
                <pic:pic>
                  <pic:nvPicPr>
                    <pic:cNvPr descr="a0ac376e1616eb3e65c4085cd83b2b63f50487fa69949357da7497b93da4d68d.jpg" id="35" name="Picture"/>
                    <pic:cNvPicPr>
                      <a:picLocks noChangeArrowheads="1" noChangeAspect="1"/>
                    </pic:cNvPicPr>
                  </pic:nvPicPr>
                  <pic:blipFill>
                    <a:blip r:embed="rId33"/>
                    <a:stretch>
                      <a:fillRect/>
                    </a:stretch>
                  </pic:blipFill>
                  <pic:spPr bwMode="auto">
                    <a:xfrm>
                      <a:off x="0" y="0"/>
                      <a:ext cx="2667000" cy="6875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p>
      <w:pPr>
        <w:spacing w:before="160" w:after="80"/>
      </w:pPr>
      <w:r>
        <w:pict>
          <v:rect style="width:0;height:1.5pt" o:hralign="center" o:hrstd="t" o:hr="t"/>
        </w:pict>
      </w:r>
    </w:p>
    <w:bookmarkEnd w:id="36"/>
    <w:bookmarkStart w:id="43"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33400"/>
            <wp:effectExtent b="0" l="0" r="0" t="0"/>
            <wp:docPr descr="" title="" id="38" name="Picture"/>
            <a:graphic>
              <a:graphicData uri="http://schemas.openxmlformats.org/drawingml/2006/picture">
                <pic:pic>
                  <pic:nvPicPr>
                    <pic:cNvPr descr="434a111468d2b50500620ba6f8e8473d9e3677b655d9673f2088ee9da8b59020.jpg" id="39" name="Picture"/>
                    <pic:cNvPicPr>
                      <a:picLocks noChangeArrowheads="1" noChangeAspect="1"/>
                    </pic:cNvPicPr>
                  </pic:nvPicPr>
                  <pic:blipFill>
                    <a:blip r:embed="rId37"/>
                    <a:stretch>
                      <a:fillRect/>
                    </a:stretch>
                  </pic:blipFill>
                  <pic:spPr bwMode="auto">
                    <a:xfrm>
                      <a:off x="0" y="0"/>
                      <a:ext cx="2667000" cy="53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p>
      <w:pPr>
        <w:pStyle w:val="BodyText"/>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14161"/>
            <wp:effectExtent b="0" l="0" r="0" t="0"/>
            <wp:docPr descr="" title="" id="41" name="Picture"/>
            <a:graphic>
              <a:graphicData uri="http://schemas.openxmlformats.org/drawingml/2006/picture">
                <pic:pic>
                  <pic:nvPicPr>
                    <pic:cNvPr descr="2d1396dc190d214fffe488cde9d2e198bdbd82de0e804a6a8f9bc428c0d0dba0.jpg" id="42" name="Picture"/>
                    <pic:cNvPicPr>
                      <a:picLocks noChangeArrowheads="1" noChangeAspect="1"/>
                    </pic:cNvPicPr>
                  </pic:nvPicPr>
                  <pic:blipFill>
                    <a:blip r:embed="rId40"/>
                    <a:stretch>
                      <a:fillRect/>
                    </a:stretch>
                  </pic:blipFill>
                  <pic:spPr bwMode="auto">
                    <a:xfrm>
                      <a:off x="0" y="0"/>
                      <a:ext cx="2667000" cy="10141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p>
      <w:pPr>
        <w:pStyle w:val="BodyText"/>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5"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4421"/>
            <wp:effectExtent b="0" l="0" r="0" t="0"/>
            <wp:docPr descr="" title="" id="45" name="Picture"/>
            <a:graphic>
              <a:graphicData uri="http://schemas.openxmlformats.org/drawingml/2006/picture">
                <pic:pic>
                  <pic:nvPicPr>
                    <pic:cNvPr descr="36df1881228515b2920ea01f58446cd54084a04d6cd685facec101ece6775224.png" id="46" name="Picture"/>
                    <pic:cNvPicPr>
                      <a:picLocks noChangeArrowheads="1" noChangeAspect="1"/>
                    </pic:cNvPicPr>
                  </pic:nvPicPr>
                  <pic:blipFill>
                    <a:blip r:embed="rId44"/>
                    <a:stretch>
                      <a:fillRect/>
                    </a:stretch>
                  </pic:blipFill>
                  <pic:spPr bwMode="auto">
                    <a:xfrm>
                      <a:off x="0" y="0"/>
                      <a:ext cx="2667000" cy="1684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p>
      <w:pPr>
        <w:pStyle w:val="BodyText"/>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9275"/>
            <wp:effectExtent b="0" l="0" r="0" t="0"/>
            <wp:docPr descr="" title="" id="48" name="Picture"/>
            <a:graphic>
              <a:graphicData uri="http://schemas.openxmlformats.org/drawingml/2006/picture">
                <pic:pic>
                  <pic:nvPicPr>
                    <pic:cNvPr descr="50fb148a0f8a1be5c226a4e27f60ab33674052c622ad078cc6afe4b6f9ad2800.jpg" id="49" name="Picture"/>
                    <pic:cNvPicPr>
                      <a:picLocks noChangeArrowheads="1" noChangeAspect="1"/>
                    </pic:cNvPicPr>
                  </pic:nvPicPr>
                  <pic:blipFill>
                    <a:blip r:embed="rId47"/>
                    <a:stretch>
                      <a:fillRect/>
                    </a:stretch>
                  </pic:blipFill>
                  <pic:spPr bwMode="auto">
                    <a:xfrm>
                      <a:off x="0" y="0"/>
                      <a:ext cx="2667000" cy="18192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p>
      <w:pPr>
        <w:pStyle w:val="BodyText"/>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287"/>
            <wp:effectExtent b="0" l="0" r="0" t="0"/>
            <wp:docPr descr="" title="" id="51" name="Picture"/>
            <a:graphic>
              <a:graphicData uri="http://schemas.openxmlformats.org/drawingml/2006/picture">
                <pic:pic>
                  <pic:nvPicPr>
                    <pic:cNvPr descr="4c27fee08a2e6b356393bf35b45f062c8d72934397769812110c90e1920d5585.jpg" id="52" name="Picture"/>
                    <pic:cNvPicPr>
                      <a:picLocks noChangeArrowheads="1" noChangeAspect="1"/>
                    </pic:cNvPicPr>
                  </pic:nvPicPr>
                  <pic:blipFill>
                    <a:blip r:embed="rId50"/>
                    <a:stretch>
                      <a:fillRect/>
                    </a:stretch>
                  </pic:blipFill>
                  <pic:spPr bwMode="auto">
                    <a:xfrm>
                      <a:off x="0" y="0"/>
                      <a:ext cx="2667000" cy="15472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p>
      <w:pPr>
        <w:pStyle w:val="BodyText"/>
        <w:spacing w:before="160" w:after="80"/>
        <w:jc w:val="center"/>
      </w:pPr>
      <w:r>
        <w:rPr>
          <w:rFonts w:ascii="Times New Roman" w:hAnsi="Times New Roman" w:eastAsia="Times New Roman" w:cs="Times New Roman"/>
        </w:rPr>
        <w:drawing>
          <wp:inline>
            <wp:extent cx="2667000" cy="3709134"/>
            <wp:effectExtent b="0" l="0" r="0" t="0"/>
            <wp:docPr descr="" title="" id="54" name="Picture"/>
            <a:graphic>
              <a:graphicData uri="http://schemas.openxmlformats.org/drawingml/2006/picture">
                <pic:pic>
                  <pic:nvPicPr>
                    <pic:cNvPr descr="e33adeb003cbfbd140e012575ce3981b1e196e25073ed8adbd6f5815267f311d.jpg" id="55" name="Picture"/>
                    <pic:cNvPicPr>
                      <a:picLocks noChangeArrowheads="1" noChangeAspect="1"/>
                    </pic:cNvPicPr>
                  </pic:nvPicPr>
                  <pic:blipFill>
                    <a:blip r:embed="rId53"/>
                    <a:stretch>
                      <a:fillRect/>
                    </a:stretch>
                  </pic:blipFill>
                  <pic:spPr bwMode="auto">
                    <a:xfrm>
                      <a:off x="0" y="0"/>
                      <a:ext cx="2667000" cy="37091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p>
      <w:pPr>
        <w:pStyle w:val="BodyText"/>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1865"/>
            <wp:effectExtent b="0" l="0" r="0" t="0"/>
            <wp:docPr descr="" title="" id="57" name="Picture"/>
            <a:graphic>
              <a:graphicData uri="http://schemas.openxmlformats.org/drawingml/2006/picture">
                <pic:pic>
                  <pic:nvPicPr>
                    <pic:cNvPr descr="a86062f34ba34e60e73aab4990e0016821ff0e19b3bb32bda107514e89bd56b8.jpg" id="58" name="Picture"/>
                    <pic:cNvPicPr>
                      <a:picLocks noChangeArrowheads="1" noChangeAspect="1"/>
                    </pic:cNvPicPr>
                  </pic:nvPicPr>
                  <pic:blipFill>
                    <a:blip r:embed="rId56"/>
                    <a:stretch>
                      <a:fillRect/>
                    </a:stretch>
                  </pic:blipFill>
                  <pic:spPr bwMode="auto">
                    <a:xfrm>
                      <a:off x="0" y="0"/>
                      <a:ext cx="2667000" cy="11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p>
      <w:pPr>
        <w:pStyle w:val="BodyText"/>
        <w:spacing w:before="160" w:after="80"/>
        <w:jc w:val="center"/>
      </w:pPr>
      <w:r>
        <w:rPr>
          <w:rFonts w:ascii="Times New Roman" w:hAnsi="Times New Roman" w:eastAsia="Times New Roman" w:cs="Times New Roman"/>
        </w:rPr>
        <w:drawing>
          <wp:inline>
            <wp:extent cx="2667000" cy="1212272"/>
            <wp:effectExtent b="0" l="0" r="0" t="0"/>
            <wp:docPr descr="" title="" id="60" name="Picture"/>
            <a:graphic>
              <a:graphicData uri="http://schemas.openxmlformats.org/drawingml/2006/picture">
                <pic:pic>
                  <pic:nvPicPr>
                    <pic:cNvPr descr="d7478bf20a32aa03ee16330be21e886053c31e391be7a9bccdff6bd983732a43.jpg" id="61" name="Picture"/>
                    <pic:cNvPicPr>
                      <a:picLocks noChangeArrowheads="1" noChangeAspect="1"/>
                    </pic:cNvPicPr>
                  </pic:nvPicPr>
                  <pic:blipFill>
                    <a:blip r:embed="rId59"/>
                    <a:stretch>
                      <a:fillRect/>
                    </a:stretch>
                  </pic:blipFill>
                  <pic:spPr bwMode="auto">
                    <a:xfrm>
                      <a:off x="0" y="0"/>
                      <a:ext cx="2667000" cy="1212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p>
      <w:pPr>
        <w:pStyle w:val="BodyText"/>
        <w:spacing w:before="160" w:after="80"/>
        <w:jc w:val="center"/>
      </w:pPr>
      <w:r>
        <w:rPr>
          <w:rFonts w:ascii="Times New Roman" w:hAnsi="Times New Roman" w:eastAsia="Times New Roman" w:cs="Times New Roman"/>
        </w:rPr>
        <w:drawing>
          <wp:inline>
            <wp:extent cx="2667000" cy="2127154"/>
            <wp:effectExtent b="0" l="0" r="0" t="0"/>
            <wp:docPr descr="" title="" id="63" name="Picture"/>
            <a:graphic>
              <a:graphicData uri="http://schemas.openxmlformats.org/drawingml/2006/picture">
                <pic:pic>
                  <pic:nvPicPr>
                    <pic:cNvPr descr="90e14bba74ad92ffe9ab8f62a2cb0e743da5af67fa4f089fa996609063c90dbe.jpg" id="64" name="Picture"/>
                    <pic:cNvPicPr>
                      <a:picLocks noChangeArrowheads="1" noChangeAspect="1"/>
                    </pic:cNvPicPr>
                  </pic:nvPicPr>
                  <pic:blipFill>
                    <a:blip r:embed="rId62"/>
                    <a:stretch>
                      <a:fillRect/>
                    </a:stretch>
                  </pic:blipFill>
                  <pic:spPr bwMode="auto">
                    <a:xfrm>
                      <a:off x="0" y="0"/>
                      <a:ext cx="2667000" cy="2127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p>
      <w:pPr>
        <w:spacing w:before="160" w:after="80"/>
      </w:pPr>
      <w:r>
        <w:pict>
          <v:rect style="width:0;height:1.5pt" o:hralign="center" o:hrstd="t" o:hr="t"/>
        </w:pict>
      </w:r>
    </w:p>
    <w:bookmarkEnd w:id="65"/>
    <w:bookmarkStart w:id="72"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84364"/>
            <wp:effectExtent b="0" l="0" r="0" t="0"/>
            <wp:docPr descr="" title="" id="67" name="Picture"/>
            <a:graphic>
              <a:graphicData uri="http://schemas.openxmlformats.org/drawingml/2006/picture">
                <pic:pic>
                  <pic:nvPicPr>
                    <pic:cNvPr descr="5da45d7c251a4167e8ddba41644f85fe8ee4fbcd62451fc1a580f4ab72ed893f.jpg" id="68" name="Picture"/>
                    <pic:cNvPicPr>
                      <a:picLocks noChangeArrowheads="1" noChangeAspect="1"/>
                    </pic:cNvPicPr>
                  </pic:nvPicPr>
                  <pic:blipFill>
                    <a:blip r:embed="rId66"/>
                    <a:stretch>
                      <a:fillRect/>
                    </a:stretch>
                  </pic:blipFill>
                  <pic:spPr bwMode="auto">
                    <a:xfrm>
                      <a:off x="0" y="0"/>
                      <a:ext cx="2667000" cy="884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82661"/>
            <wp:effectExtent b="0" l="0" r="0" t="0"/>
            <wp:docPr descr="" title="" id="70" name="Picture"/>
            <a:graphic>
              <a:graphicData uri="http://schemas.openxmlformats.org/drawingml/2006/picture">
                <pic:pic>
                  <pic:nvPicPr>
                    <pic:cNvPr descr="5917f923258e7611fcc104ac03f2d53dd6706ae9924aef58cfb28c7eb14b4a69.jpg" id="71" name="Picture"/>
                    <pic:cNvPicPr>
                      <a:picLocks noChangeArrowheads="1" noChangeAspect="1"/>
                    </pic:cNvPicPr>
                  </pic:nvPicPr>
                  <pic:blipFill>
                    <a:blip r:embed="rId69"/>
                    <a:stretch>
                      <a:fillRect/>
                    </a:stretch>
                  </pic:blipFill>
                  <pic:spPr bwMode="auto">
                    <a:xfrm>
                      <a:off x="0" y="0"/>
                      <a:ext cx="2667000" cy="19826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p>
      <w:pPr>
        <w:spacing w:before="160" w:after="80"/>
      </w:pPr>
      <w:r>
        <w:pict>
          <v:rect style="width:0;height:1.5pt" o:hralign="center" o:hrstd="t" o:hr="t"/>
        </w:pict>
      </w:r>
    </w:p>
    <w:bookmarkEnd w:id="72"/>
    <w:bookmarkStart w:id="79"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3908"/>
            <wp:effectExtent b="0" l="0" r="0" t="0"/>
            <wp:docPr descr="" title="" id="74" name="Picture"/>
            <a:graphic>
              <a:graphicData uri="http://schemas.openxmlformats.org/drawingml/2006/picture">
                <pic:pic>
                  <pic:nvPicPr>
                    <pic:cNvPr descr="e24689caf3117fe72dc27d03961a30f2e9a41988159b39887b4aa3a15c0ee84c.png" id="75" name="Picture"/>
                    <pic:cNvPicPr>
                      <a:picLocks noChangeArrowheads="1" noChangeAspect="1"/>
                    </pic:cNvPicPr>
                  </pic:nvPicPr>
                  <pic:blipFill>
                    <a:blip r:embed="rId73"/>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p>
      <w:pPr>
        <w:pStyle w:val="BodyText"/>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77" name="Picture"/>
            <a:graphic>
              <a:graphicData uri="http://schemas.openxmlformats.org/drawingml/2006/picture">
                <pic:pic>
                  <pic:nvPicPr>
                    <pic:cNvPr descr="fd5b7f66c5e0ac2f09cdc9b1972d4ac867193db5a4ab939f93e6f02e27a5ece0.jpg" id="78" name="Picture"/>
                    <pic:cNvPicPr>
                      <a:picLocks noChangeArrowheads="1" noChangeAspect="1"/>
                    </pic:cNvPicPr>
                  </pic:nvPicPr>
                  <pic:blipFill>
                    <a:blip r:embed="rId76"/>
                    <a:stretch>
                      <a:fillRect/>
                    </a:stretch>
                  </pic:blipFill>
                  <pic:spPr bwMode="auto">
                    <a:xfrm>
                      <a:off x="0" y="0"/>
                      <a:ext cx="2667000" cy="19401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p>
      <w:pPr>
        <w:pStyle w:val="BodyText"/>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能量极度飙升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6"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3923"/>
            <wp:effectExtent b="0" l="0" r="0" t="0"/>
            <wp:docPr descr="" title="" id="81" name="Picture"/>
            <a:graphic>
              <a:graphicData uri="http://schemas.openxmlformats.org/drawingml/2006/picture">
                <pic:pic>
                  <pic:nvPicPr>
                    <pic:cNvPr descr="0b7371e42520adf2534661f5208fa04eb232d2fd9ca0a2106342097764328087.jpg" id="82" name="Picture"/>
                    <pic:cNvPicPr>
                      <a:picLocks noChangeArrowheads="1" noChangeAspect="1"/>
                    </pic:cNvPicPr>
                  </pic:nvPicPr>
                  <pic:blipFill>
                    <a:blip r:embed="rId80"/>
                    <a:stretch>
                      <a:fillRect/>
                    </a:stretch>
                  </pic:blipFill>
                  <pic:spPr bwMode="auto">
                    <a:xfrm>
                      <a:off x="0" y="0"/>
                      <a:ext cx="2667000" cy="613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晶体场分裂能极其巨大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84" name="Picture"/>
            <a:graphic>
              <a:graphicData uri="http://schemas.openxmlformats.org/drawingml/2006/picture">
                <pic:pic>
                  <pic:nvPicPr>
                    <pic:cNvPr descr="f144b41a7db3fc3f0440663eeeddf642f2f255933a6e203cae4ff261ec5006c0.jpg" id="85" name="Picture"/>
                    <pic:cNvPicPr>
                      <a:picLocks noChangeArrowheads="1" noChangeAspect="1"/>
                    </pic:cNvPicPr>
                  </pic:nvPicPr>
                  <pic:blipFill>
                    <a:blip r:embed="rId83"/>
                    <a:stretch>
                      <a:fillRect/>
                    </a:stretch>
                  </pic:blipFill>
                  <pic:spPr bwMode="auto">
                    <a:xfrm>
                      <a:off x="0" y="0"/>
                      <a:ext cx="2667000" cy="11849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p>
      <w:pPr>
        <w:pStyle w:val="BodyText"/>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其极其浓烈的紫黑与血红颜色源于能量允许的高概率配体向金属电荷转移跃迁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不可逆的毁灭性亲和结合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4"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ind w:firstLine="420"/>
      </w:pPr>
      <w:r>
        <w:rPr>
          <w:rFonts w:hint="eastAsia" w:ascii="Times New Roman" w:hAnsi="Times New Roman" w:eastAsia="FangSong" w:cs="Times New Roman"/>
        </w:rPr>
        <w:t>金属羰基化合物是一类以中性一氧化碳分子为配体的极具魅力的金属有机化合物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却在室温下展现出不可思议的高稳定热力学结合常数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这一奇迹完全归功于现代配位化学中最优雅的成键典范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6903"/>
            <wp:effectExtent b="0" l="0" r="0" t="0"/>
            <wp:docPr descr="" title="" id="89" name="Picture"/>
            <a:graphic>
              <a:graphicData uri="http://schemas.openxmlformats.org/drawingml/2006/picture">
                <pic:pic>
                  <pic:nvPicPr>
                    <pic:cNvPr descr="34ffb91b062e312136328f64a6912696bca9642cbc5eb0f60203ee573fe82354.png" id="90" name="Picture"/>
                    <pic:cNvPicPr>
                      <a:picLocks noChangeArrowheads="1" noChangeAspect="1"/>
                    </pic:cNvPicPr>
                  </pic:nvPicPr>
                  <pic:blipFill>
                    <a:blip r:embed="rId88"/>
                    <a:stretch>
                      <a:fillRect/>
                    </a:stretch>
                  </pic:blipFill>
                  <pic:spPr bwMode="auto">
                    <a:xfrm>
                      <a:off x="0" y="0"/>
                      <a:ext cx="2667000" cy="1396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p>
      <w:pPr>
        <w:pStyle w:val="BodyText"/>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8645743"/>
            <wp:effectExtent b="0" l="0" r="0" t="0"/>
            <wp:docPr descr="" title="" id="92" name="Picture"/>
            <a:graphic>
              <a:graphicData uri="http://schemas.openxmlformats.org/drawingml/2006/picture">
                <pic:pic>
                  <pic:nvPicPr>
                    <pic:cNvPr descr="3e9b87c6b156e8114e8beef0316423300b809d1e28e0b3a97fd84f5a4074a8d9.jpg" id="93" name="Picture"/>
                    <pic:cNvPicPr>
                      <a:picLocks noChangeArrowheads="1" noChangeAspect="1"/>
                    </pic:cNvPicPr>
                  </pic:nvPicPr>
                  <pic:blipFill>
                    <a:blip r:embed="rId91"/>
                    <a:stretch>
                      <a:fillRect/>
                    </a:stretch>
                  </pic:blipFill>
                  <pic:spPr bwMode="auto">
                    <a:xfrm>
                      <a:off x="0" y="0"/>
                      <a:ext cx="2520000" cy="86457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p>
      <w:pPr>
        <w:pStyle w:val="BodyText"/>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pStyle w:val="FirstParagraph"/>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赛场高频失分命题陷阱清单"/>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赛场高频失分命题陷阱清单</w:t>
      </w:r>
    </w:p>
    <w:p>
      <w:pPr>
        <w:pStyle w:val="FirstParagraph"/>
        <w:ind w:firstLine="420"/>
      </w:pPr>
      <w:r>
        <w:rPr>
          <w:rFonts w:hint="eastAsia" w:ascii="Times New Roman" w:hAnsi="Times New Roman" w:eastAsia="FangSong" w:cs="Times New Roman"/>
        </w:rPr>
        <w:t>在化学奥林匹克竞赛中</w:t>
      </w:r>
      <w:r>
        <w:rPr>
          <w:rFonts w:hint="eastAsia" w:ascii="Times New Roman" w:hAnsi="Times New Roman" w:eastAsia="Times New Roman" w:cs="Times New Roman"/>
        </w:rPr>
        <w:t>，</w:t>
      </w:r>
      <w:r>
        <w:rPr>
          <w:rFonts w:hint="eastAsia" w:ascii="Times New Roman" w:hAnsi="Times New Roman" w:eastAsia="FangSong" w:cs="Times New Roman"/>
        </w:rPr>
        <w:t>面对配位化学与配合物立体异构大题</w:t>
      </w:r>
      <w:r>
        <w:rPr>
          <w:rFonts w:hint="eastAsia" w:ascii="Times New Roman" w:hAnsi="Times New Roman" w:eastAsia="Times New Roman" w:cs="Times New Roman"/>
        </w:rPr>
        <w:t>，</w:t>
      </w:r>
      <w:r>
        <w:rPr>
          <w:rFonts w:hint="eastAsia" w:ascii="Times New Roman" w:hAnsi="Times New Roman" w:eastAsia="FangSong" w:cs="Times New Roman"/>
        </w:rPr>
        <w:t>选手极易在以下八大高频陷阱处产生逻辑颠倒与失分</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命名词头与括号混淆</w:t>
      </w:r>
      <w:r>
        <w:rPr>
          <w:rFonts w:hint="eastAsia" w:ascii="Times New Roman" w:hAnsi="Times New Roman" w:eastAsia="Times New Roman" w:cs="Times New Roman"/>
        </w:rPr>
        <w:t>：</w:t>
      </w:r>
      <w:r>
        <w:rPr>
          <w:rFonts w:hint="eastAsia" w:ascii="Times New Roman" w:hAnsi="Times New Roman" w:eastAsia="FangSong" w:cs="Times New Roman"/>
        </w:rPr>
        <w:t>遇到如乙二胺</w:t>
      </w:r>
      <w:r>
        <w:rPr>
          <w:rFonts w:hint="eastAsia" w:ascii="Times New Roman" w:hAnsi="Times New Roman" w:eastAsia="Times New Roman" w:cs="Times New Roman"/>
        </w:rPr>
        <w:t>（ethylenediamine）、</w:t>
      </w:r>
      <w:r>
        <w:rPr>
          <w:rFonts w:hint="eastAsia" w:ascii="Times New Roman" w:hAnsi="Times New Roman" w:eastAsia="FangSong" w:cs="Times New Roman"/>
        </w:rPr>
        <w:t>三苯基膦等含有数字词头的复杂配体时</w:t>
      </w:r>
      <w:r>
        <w:rPr>
          <w:rFonts w:hint="eastAsia" w:ascii="Times New Roman" w:hAnsi="Times New Roman" w:eastAsia="Times New Roman" w:cs="Times New Roman"/>
        </w:rPr>
        <w:t>，</w:t>
      </w:r>
      <w:r>
        <w:rPr>
          <w:rFonts w:hint="eastAsia" w:ascii="Times New Roman" w:hAnsi="Times New Roman" w:eastAsia="FangSong" w:cs="Times New Roman"/>
        </w:rPr>
        <w:t>机械套用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前缀而未加圆括号使用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导致名称产生歧义</w:t>
      </w:r>
      <w:r>
        <w:rPr>
          <w:rFonts w:hint="eastAsia" w:ascii="Times New Roman" w:hAnsi="Times New Roman" w:eastAsia="Times New Roman" w:cs="Times New Roman"/>
        </w:rPr>
        <w:t>；</w:t>
      </w:r>
      <w:r>
        <w:rPr>
          <w:rFonts w:hint="eastAsia" w:ascii="Times New Roman" w:hAnsi="Times New Roman" w:eastAsia="FangSong" w:cs="Times New Roman"/>
        </w:rPr>
        <w:t>或在阴离子配合物命名中遗漏</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w:t>
      </w:r>
      <w:r>
        <w:rPr>
          <w:rFonts w:hint="eastAsia" w:ascii="Times New Roman" w:hAnsi="Times New Roman" w:eastAsia="Times New Roman" w:cs="Times New Roman"/>
        </w:rPr>
        <w:t>（</w:t>
      </w:r>
      <w:r>
        <w:rPr>
          <w:rFonts w:hint="eastAsia" w:ascii="Times New Roman" w:hAnsi="Times New Roman" w:eastAsia="FangSong" w:cs="Times New Roman"/>
        </w:rPr>
        <w:t>如将六氟合铁酸钾误写为六氟合铁化钾</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四配位体系几何构型盲目推定</w:t>
      </w:r>
      <w:r>
        <w:rPr>
          <w:rFonts w:hint="eastAsia" w:ascii="Times New Roman" w:hAnsi="Times New Roman" w:eastAsia="Times New Roman" w:cs="Times New Roman"/>
        </w:rPr>
        <w:t>：</w:t>
      </w:r>
      <w:r>
        <w:rPr>
          <w:rFonts w:hint="eastAsia" w:ascii="Times New Roman" w:hAnsi="Times New Roman" w:eastAsia="FangSong" w:cs="Times New Roman"/>
        </w:rPr>
        <w:t>见到</w:t>
      </w:r>
      <w:r>
        <w:rPr>
          <w:rFonts w:ascii="Times New Roman" w:hAnsi="Times New Roman" w:eastAsia="Times New Roman" w:cs="Times New Roman"/>
        </w:rPr>
        <w:t xml:space="preserve"> CN = 4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缺乏深层电子构型分析</w:t>
      </w:r>
      <w:r>
        <w:rPr>
          <w:rFonts w:hint="eastAsia" w:ascii="Times New Roman" w:hAnsi="Times New Roman" w:eastAsia="Times New Roman" w:cs="Times New Roman"/>
        </w:rPr>
        <w:t>，</w:t>
      </w:r>
      <w:r>
        <w:rPr>
          <w:rFonts w:hint="eastAsia" w:ascii="Times New Roman" w:hAnsi="Times New Roman" w:eastAsia="FangSong" w:cs="Times New Roman"/>
        </w:rPr>
        <w:t>一概判定为常见的四面体</w:t>
      </w:r>
      <w:r>
        <w:rPr>
          <w:rFonts w:hint="eastAsia" w:ascii="Times New Roman" w:hAnsi="Times New Roman" w:eastAsia="Times New Roman" w:cs="Times New Roman"/>
        </w:rPr>
        <w:t>；</w:t>
      </w:r>
      <w:r>
        <w:rPr>
          <w:rFonts w:hint="eastAsia" w:ascii="Times New Roman" w:hAnsi="Times New Roman" w:eastAsia="FangSong" w:cs="Times New Roman"/>
        </w:rPr>
        <w:t>必须牢记重过渡金属</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以及第一过渡系处于强场氰根环境下的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八面体异构体手性对映体枚举遗漏</w:t>
      </w:r>
      <w:r>
        <w:rPr>
          <w:rFonts w:hint="eastAsia" w:ascii="Times New Roman" w:hAnsi="Times New Roman" w:eastAsia="Times New Roman" w:cs="Times New Roman"/>
        </w:rPr>
        <w:t>：</w:t>
      </w:r>
      <w:r>
        <w:rPr>
          <w:rFonts w:hint="eastAsia" w:ascii="Times New Roman" w:hAnsi="Times New Roman" w:eastAsia="FangSong" w:cs="Times New Roman"/>
        </w:rPr>
        <w:t>在枚举复杂八面体异构体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误以为每个几何异构体都具有中心反演或对称面</w:t>
      </w:r>
      <w:r>
        <w:rPr>
          <w:rFonts w:hint="eastAsia" w:ascii="Times New Roman" w:hAnsi="Times New Roman" w:eastAsia="Times New Roman" w:cs="Times New Roman"/>
        </w:rPr>
        <w:t>，</w:t>
      </w:r>
      <w:r>
        <w:rPr>
          <w:rFonts w:hint="eastAsia" w:ascii="Times New Roman" w:hAnsi="Times New Roman" w:eastAsia="FangSong" w:cs="Times New Roman"/>
        </w:rPr>
        <w:t>从而遗漏了非对称异构体</w:t>
      </w:r>
      <w:r>
        <w:rPr>
          <w:rFonts w:hint="eastAsia" w:ascii="Times New Roman" w:hAnsi="Times New Roman" w:eastAsia="Times New Roman" w:cs="Times New Roman"/>
        </w:rPr>
        <w:t>（</w:t>
      </w:r>
      <w:r>
        <w:rPr>
          <w:rFonts w:hint="eastAsia" w:ascii="Times New Roman" w:hAnsi="Times New Roman" w:eastAsia="FangSong" w:cs="Times New Roman"/>
        </w:rPr>
        <w:t>如全顺式</w:t>
      </w:r>
      <w:r>
        <w:rPr>
          <w:rFonts w:ascii="Times New Roman" w:hAnsi="Times New Roman" w:eastAsia="Times New Roman" w:cs="Times New Roman"/>
        </w:rPr>
        <w:t xml:space="preserve"> </w:t>
      </w:r>
      <w:r>
        <w:rPr>
          <w:rFonts w:hint="eastAsia" w:ascii="Times New Roman" w:hAnsi="Times New Roman" w:eastAsia="Times New Roman" w:cs="Times New Roman"/>
        </w:rPr>
        <w:t>cis-cis-cis）</w:t>
      </w:r>
      <w:r>
        <w:rPr>
          <w:rFonts w:hint="eastAsia" w:ascii="Times New Roman" w:hAnsi="Times New Roman" w:eastAsia="FangSong" w:cs="Times New Roman"/>
        </w:rPr>
        <w:t>所衍生的一对手性对映体</w:t>
      </w:r>
      <w:r>
        <w:rPr>
          <w:rFonts w:hint="eastAsia" w:ascii="Times New Roman" w:hAnsi="Times New Roman" w:eastAsia="Times New Roman" w:cs="Times New Roman"/>
        </w:rPr>
        <w:t>，</w:t>
      </w:r>
      <w:r>
        <w:rPr>
          <w:rFonts w:hint="eastAsia" w:ascii="Times New Roman" w:hAnsi="Times New Roman" w:eastAsia="FangSong" w:cs="Times New Roman"/>
        </w:rPr>
        <w:t>导致立体异构体总计数目严重少算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两可配体键合原子标定颠倒</w:t>
      </w:r>
      <w:r>
        <w:rPr>
          <w:rFonts w:hint="eastAsia" w:ascii="Times New Roman" w:hAnsi="Times New Roman" w:eastAsia="Times New Roman" w:cs="Times New Roman"/>
        </w:rPr>
        <w:t>：</w:t>
      </w:r>
      <w:r>
        <w:rPr>
          <w:rFonts w:hint="eastAsia" w:ascii="Times New Roman" w:hAnsi="Times New Roman" w:eastAsia="FangSong" w:cs="Times New Roman"/>
        </w:rPr>
        <w:t>在书写硝基</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与硫氰酸根</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配合物时</w:t>
      </w:r>
      <w:r>
        <w:rPr>
          <w:rFonts w:hint="eastAsia" w:ascii="Times New Roman" w:hAnsi="Times New Roman" w:eastAsia="Times New Roman" w:cs="Times New Roman"/>
        </w:rPr>
        <w:t>，</w:t>
      </w:r>
      <w:r>
        <w:rPr>
          <w:rFonts w:hint="eastAsia" w:ascii="Times New Roman" w:hAnsi="Times New Roman" w:eastAsia="FangSong" w:cs="Times New Roman"/>
        </w:rPr>
        <w:t>将键合原子与缩写符号混为一谈</w:t>
      </w:r>
      <w:r>
        <w:rPr>
          <w:rFonts w:hint="eastAsia" w:ascii="Times New Roman" w:hAnsi="Times New Roman" w:eastAsia="Times New Roman" w:cs="Times New Roman"/>
        </w:rPr>
        <w:t>，</w:t>
      </w:r>
      <w:r>
        <w:rPr>
          <w:rFonts w:hint="eastAsia" w:ascii="Times New Roman" w:hAnsi="Times New Roman" w:eastAsia="FangSong" w:cs="Times New Roman"/>
        </w:rPr>
        <w:t>甚至将硫氰基</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与异硫氰基</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的配位场强次序记反</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N </w:t>
      </w:r>
      <w:r>
        <w:rPr>
          <w:rFonts w:hint="eastAsia" w:ascii="Times New Roman" w:hAnsi="Times New Roman" w:eastAsia="FangSong" w:cs="Times New Roman"/>
        </w:rPr>
        <w:t xml:space="preserve">端配位场强于</w:t>
      </w:r>
      <w:r>
        <w:rPr>
          <w:rFonts w:ascii="Times New Roman" w:hAnsi="Times New Roman" w:eastAsia="Times New Roman" w:cs="Times New Roman"/>
        </w:rPr>
        <w:t xml:space="preserve"> S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四面体场强与高低自旋误判</w:t>
      </w:r>
      <w:r>
        <w:rPr>
          <w:rFonts w:hint="eastAsia" w:ascii="Times New Roman" w:hAnsi="Times New Roman" w:eastAsia="Times New Roman" w:cs="Times New Roman"/>
        </w:rPr>
        <w:t>：</w:t>
      </w:r>
      <w:r>
        <w:rPr>
          <w:rFonts w:hint="eastAsia" w:ascii="Times New Roman" w:hAnsi="Times New Roman" w:eastAsia="FangSong" w:cs="Times New Roman"/>
        </w:rPr>
        <w:t>将八面体场强经验机械套用于四面体配合物</w:t>
      </w:r>
      <w:r>
        <w:rPr>
          <w:rFonts w:hint="eastAsia" w:ascii="Times New Roman" w:hAnsi="Times New Roman" w:eastAsia="Times New Roman" w:cs="Times New Roman"/>
        </w:rPr>
        <w:t>，</w:t>
      </w:r>
      <w:r>
        <w:rPr>
          <w:rFonts w:hint="eastAsia" w:ascii="Times New Roman" w:hAnsi="Times New Roman" w:eastAsia="FangSong" w:cs="Times New Roman"/>
        </w:rPr>
        <w:t>试图在四面体配合物中寻找低自旋态</w:t>
      </w:r>
      <w:r>
        <w:rPr>
          <w:rFonts w:hint="eastAsia" w:ascii="Times New Roman" w:hAnsi="Times New Roman" w:eastAsia="Times New Roman" w:cs="Times New Roman"/>
        </w:rPr>
        <w:t>；</w:t>
      </w:r>
      <w:r>
        <w:rPr>
          <w:rFonts w:hint="eastAsia" w:ascii="Times New Roman" w:hAnsi="Times New Roman" w:eastAsia="FangSong" w:cs="Times New Roman"/>
        </w:rPr>
        <w:t>忽视了四面体场分裂能仅为八面体的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在几乎所有常见配体下</w:t>
      </w:r>
      <w:r>
        <w:rPr>
          <w:rFonts w:ascii="Times New Roman" w:hAnsi="Times New Roman" w:eastAsia="Times New Roman" w:cs="Times New Roman"/>
        </w:rPr>
        <w:t xml:space="preserve"> </w:t>
      </w:r>
      <m:oMath>
        <m:sSub>
          <m:e>
            <m:r>
              <m:rPr>
                <m:sty m:val="p"/>
              </m:rPr>
              <m:t>Δ</m:t>
            </m:r>
          </m:e>
          <m:sub>
            <m:r>
              <m:t>t</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因此四面体配合物在竞赛中均表现为高自旋态</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禁阻与电荷转移吸收混为一谈</w:t>
      </w:r>
      <w:r>
        <w:rPr>
          <w:rFonts w:hint="eastAsia" w:ascii="Times New Roman" w:hAnsi="Times New Roman" w:eastAsia="Times New Roman" w:cs="Times New Roman"/>
        </w:rPr>
        <w:t>：</w:t>
      </w:r>
      <w:r>
        <w:rPr>
          <w:rFonts w:hint="eastAsia" w:ascii="Times New Roman" w:hAnsi="Times New Roman" w:eastAsia="FangSong" w:cs="Times New Roman"/>
        </w:rPr>
        <w:t>误以为配合物的颜色深浅完全取决于</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w:t>
      </w:r>
      <w:r>
        <w:rPr>
          <w:rFonts w:hint="eastAsia" w:ascii="Times New Roman" w:hAnsi="Times New Roman" w:eastAsia="Times New Roman" w:cs="Times New Roman"/>
        </w:rPr>
        <w:t>；</w:t>
      </w:r>
      <w:r>
        <w:rPr>
          <w:rFonts w:hint="eastAsia" w:ascii="Times New Roman" w:hAnsi="Times New Roman" w:eastAsia="FangSong" w:cs="Times New Roman"/>
        </w:rPr>
        <w:t>无法解释为什么无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具有极深的紫黑色</w:t>
      </w:r>
      <w:r>
        <w:rPr>
          <w:rFonts w:hint="eastAsia" w:ascii="Times New Roman" w:hAnsi="Times New Roman" w:eastAsia="Times New Roman" w:cs="Times New Roman"/>
        </w:rPr>
        <w:t>，</w:t>
      </w:r>
      <w:r>
        <w:rPr>
          <w:rFonts w:hint="eastAsia" w:ascii="Times New Roman" w:hAnsi="Times New Roman" w:eastAsia="FangSong" w:cs="Times New Roman"/>
        </w:rPr>
        <w:t>忽略了无宇称禁阻</w:t>
      </w:r>
      <w:r>
        <w:rPr>
          <w:rFonts w:hint="eastAsia" w:ascii="Times New Roman" w:hAnsi="Times New Roman" w:eastAsia="Times New Roman" w:cs="Times New Roman"/>
        </w:rPr>
        <w:t>、</w:t>
      </w:r>
      <w:r>
        <w:rPr>
          <w:rFonts w:hint="eastAsia" w:ascii="Times New Roman" w:hAnsi="Times New Roman" w:eastAsia="FangSong" w:cs="Times New Roman"/>
        </w:rPr>
        <w:t>吸收系数高出数百倍的荷移跃迁</w:t>
      </w:r>
      <w:r>
        <w:rPr>
          <w:rFonts w:hint="eastAsia" w:ascii="Times New Roman" w:hAnsi="Times New Roman" w:eastAsia="Times New Roman" w:cs="Times New Roman"/>
        </w:rPr>
        <w:t>（LMCT）。</w:t>
      </w:r>
    </w:p>
    <w:p>
      <w:pPr>
        <w:pStyle w:val="Compact"/>
        <w:numPr>
          <w:ilvl w:val="0"/>
          <w:numId w:val="1001"/>
        </w:numPr>
        <w:ind w:firstLine="420"/>
      </w:pPr>
      <w:r>
        <w:rPr>
          <w:rFonts w:hint="eastAsia" w:ascii="Times New Roman" w:hAnsi="Times New Roman" w:eastAsia="FangSong" w:cs="Times New Roman"/>
          <w:b/>
          <w:bCs/>
        </w:rPr>
        <w:t xml:space="preserve">逐级稳定常数突跃误判为实验误差</w:t>
      </w:r>
      <w:r>
        <w:rPr>
          <w:rFonts w:hint="eastAsia" w:ascii="Times New Roman" w:hAnsi="Times New Roman" w:eastAsia="Times New Roman" w:cs="Times New Roman"/>
        </w:rPr>
        <w:t>：</w:t>
      </w:r>
      <w:r>
        <w:rPr>
          <w:rFonts w:hint="eastAsia" w:ascii="Times New Roman" w:hAnsi="Times New Roman" w:eastAsia="FangSong" w:cs="Times New Roman"/>
        </w:rPr>
        <w:t>遇到多步配位平衡中常数反常突跃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K</m:t>
            </m:r>
          </m:e>
          <m:sub>
            <m:r>
              <m:t>3</m:t>
            </m:r>
          </m:sub>
        </m:sSub>
        <m:r>
          <m:rPr>
            <m:sty m:val="p"/>
          </m:rPr>
          <m:t>&gt;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误认为是实验测定失误</w:t>
      </w:r>
      <w:r>
        <w:rPr>
          <w:rFonts w:hint="eastAsia" w:ascii="Times New Roman" w:hAnsi="Times New Roman" w:eastAsia="Times New Roman" w:cs="Times New Roman"/>
        </w:rPr>
        <w:t>，</w:t>
      </w:r>
      <w:r>
        <w:rPr>
          <w:rFonts w:hint="eastAsia" w:ascii="Times New Roman" w:hAnsi="Times New Roman" w:eastAsia="FangSong" w:cs="Times New Roman"/>
        </w:rPr>
        <w:t>未能洞察体系发生六配位向四配位几何多面体蜕变所释放的大量水分子熵增机制</w:t>
      </w:r>
      <w:r>
        <w:rPr>
          <w:rFonts w:hint="eastAsia" w:ascii="Times New Roman" w:hAnsi="Times New Roman" w:eastAsia="Times New Roman" w:cs="Times New Roman"/>
        </w:rPr>
        <w:t>。</w:t>
      </w:r>
    </w:p>
    <w:p>
      <w:pPr>
        <w:pStyle w:val="Compact"/>
        <w:numPr>
          <w:ilvl w:val="0"/>
          <w:numId w:val="1001"/>
        </w:numPr>
        <w:ind w:firstLine="420"/>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电子计数中配体电荷与电子贡献混淆</w:t>
      </w:r>
      <w:r>
        <w:rPr>
          <w:rFonts w:hint="eastAsia" w:ascii="Times New Roman" w:hAnsi="Times New Roman" w:eastAsia="Times New Roman" w:cs="Times New Roman"/>
        </w:rPr>
        <w:t>：</w:t>
      </w:r>
      <w:r>
        <w:rPr>
          <w:rFonts w:hint="eastAsia" w:ascii="Times New Roman" w:hAnsi="Times New Roman" w:eastAsia="FangSong" w:cs="Times New Roman"/>
        </w:rPr>
        <w:t>在应用中性原子法计数时</w:t>
      </w:r>
      <w:r>
        <w:rPr>
          <w:rFonts w:hint="eastAsia" w:ascii="Times New Roman" w:hAnsi="Times New Roman" w:eastAsia="Times New Roman" w:cs="Times New Roman"/>
        </w:rPr>
        <w:t>，</w:t>
      </w:r>
      <w:r>
        <w:rPr>
          <w:rFonts w:hint="eastAsia" w:ascii="Times New Roman" w:hAnsi="Times New Roman" w:eastAsia="FangSong" w:cs="Times New Roman"/>
        </w:rPr>
        <w:t>误将配体的负电荷重复计算两次</w:t>
      </w:r>
      <w:r>
        <w:rPr>
          <w:rFonts w:hint="eastAsia" w:ascii="Times New Roman" w:hAnsi="Times New Roman" w:eastAsia="Times New Roman" w:cs="Times New Roman"/>
        </w:rPr>
        <w:t>，</w:t>
      </w:r>
      <w:r>
        <w:rPr>
          <w:rFonts w:hint="eastAsia" w:ascii="Times New Roman" w:hAnsi="Times New Roman" w:eastAsia="FangSong" w:cs="Times New Roman"/>
        </w:rPr>
        <w:t>或者在多核簇合物中忘记除以</w:t>
      </w:r>
      <w:r>
        <w:rPr>
          <w:rFonts w:ascii="Times New Roman" w:hAnsi="Times New Roman" w:eastAsia="Times New Roman" w:cs="Times New Roman"/>
        </w:rPr>
        <w:t xml:space="preserve"> 2 </w:t>
      </w:r>
      <w:r>
        <w:rPr>
          <w:rFonts w:hint="eastAsia" w:ascii="Times New Roman" w:hAnsi="Times New Roman" w:eastAsia="FangSong" w:cs="Times New Roman"/>
        </w:rPr>
        <w:t>计算单中心电子数</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金属键数目的拓扑预测产生倍数偏差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溶液具有极其深浓夺目的紫黑色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水溶液颜色却极度浅淡接近肉眼无色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80" Type="http://schemas.openxmlformats.org/officeDocument/2006/relationships/image" Target="media/rId80.jpg"/><Relationship Id="rId40" Type="http://schemas.openxmlformats.org/officeDocument/2006/relationships/image" Target="media/rId40.jpg"/><Relationship Id="rId88" Type="http://schemas.openxmlformats.org/officeDocument/2006/relationships/image" Target="media/rId88.png"/><Relationship Id="rId44" Type="http://schemas.openxmlformats.org/officeDocument/2006/relationships/image" Target="media/rId44.png"/><Relationship Id="rId20" Type="http://schemas.openxmlformats.org/officeDocument/2006/relationships/image" Target="media/rId20.jpg"/><Relationship Id="rId91" Type="http://schemas.openxmlformats.org/officeDocument/2006/relationships/image" Target="media/rId91.jpg"/><Relationship Id="rId37" Type="http://schemas.openxmlformats.org/officeDocument/2006/relationships/image" Target="media/rId37.jpg"/><Relationship Id="rId23" Type="http://schemas.openxmlformats.org/officeDocument/2006/relationships/image" Target="media/rId23.jpg"/><Relationship Id="rId50" Type="http://schemas.openxmlformats.org/officeDocument/2006/relationships/image" Target="media/rId50.jpg"/><Relationship Id="rId47" Type="http://schemas.openxmlformats.org/officeDocument/2006/relationships/image" Target="media/rId47.jpg"/><Relationship Id="rId10" Type="http://schemas.openxmlformats.org/officeDocument/2006/relationships/image" Target="media/rId10.jpg"/><Relationship Id="rId69" Type="http://schemas.openxmlformats.org/officeDocument/2006/relationships/image" Target="media/rId69.jpg"/><Relationship Id="rId66" Type="http://schemas.openxmlformats.org/officeDocument/2006/relationships/image" Target="media/rId66.jpg"/><Relationship Id="rId62" Type="http://schemas.openxmlformats.org/officeDocument/2006/relationships/image" Target="media/rId62.jpg"/><Relationship Id="rId30" Type="http://schemas.openxmlformats.org/officeDocument/2006/relationships/image" Target="media/rId30.png"/><Relationship Id="rId16" Type="http://schemas.openxmlformats.org/officeDocument/2006/relationships/image" Target="media/rId16.jpg"/><Relationship Id="rId33" Type="http://schemas.openxmlformats.org/officeDocument/2006/relationships/image" Target="media/rId33.jpg"/><Relationship Id="rId56" Type="http://schemas.openxmlformats.org/officeDocument/2006/relationships/image" Target="media/rId56.jpg"/><Relationship Id="rId13" Type="http://schemas.openxmlformats.org/officeDocument/2006/relationships/image" Target="media/rId13.jpg"/><Relationship Id="rId59" Type="http://schemas.openxmlformats.org/officeDocument/2006/relationships/image" Target="media/rId59.jpg"/><Relationship Id="rId73" Type="http://schemas.openxmlformats.org/officeDocument/2006/relationships/image" Target="media/rId73.png"/><Relationship Id="rId53" Type="http://schemas.openxmlformats.org/officeDocument/2006/relationships/image" Target="media/rId53.jpg"/><Relationship Id="rId83" Type="http://schemas.openxmlformats.org/officeDocument/2006/relationships/image" Target="media/rId83.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2026-09-29T03:15:10Z</dcterms:created>
  <dcterms:modified xsi:type="dcterms:W3CDTF">2026-09-29T03:15:10Z</dcterms:modified>
</cp:coreProperties>
</file>

<file path=docProps/custom.xml><?xml version="1.0" encoding="utf-8"?>
<Properties xmlns="http://schemas.openxmlformats.org/officeDocument/2006/custom-properties" xmlns:vt="http://schemas.openxmlformats.org/officeDocument/2006/docPropsVTypes"/>
</file>