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配位场分子轨道</w:t>
            </w:r>
          </w:p>
        </w:tc>
        <w:tc>
          <w:tcPr/>
          <w:p>
            <w:pPr>
              <w:pStyle w:val="Compact"/>
              <w:jc w:val="center"/>
            </w:pPr>
            <w:r>
              <w:rPr>
                <w:rFonts w:hint="eastAsia" w:ascii="Times New Roman" w:hAnsi="Times New Roman" w:eastAsia="FangSong" w:cs="Times New Roman"/>
              </w:rPr>
              <w:t xml:space="preserve">构建八面体配位场</w:t>
            </w:r>
            <w:r>
              <w:rPr>
                <w:rFonts w:ascii="Times New Roman" w:hAnsi="Times New Roman" w:eastAsia="Times New Roman" w:cs="Times New Roman"/>
              </w:rPr>
              <w:t xml:space="preserve"> MOT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对称性匹配解释</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的物理本质</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非八面体场与低配位</w:t>
            </w:r>
          </w:p>
        </w:tc>
        <w:tc>
          <w:tcPr/>
          <w:p>
            <w:pPr>
              <w:pStyle w:val="Compact"/>
              <w:jc w:val="center"/>
            </w:pPr>
            <w:r>
              <w:rPr>
                <w:rFonts w:hint="eastAsia" w:ascii="Times New Roman" w:hAnsi="Times New Roman" w:eastAsia="FangSong" w:cs="Times New Roman"/>
              </w:rPr>
              <w:t>推导四面体与平面正方形场能级演化</w:t>
            </w:r>
            <w:r>
              <w:rPr>
                <w:rFonts w:hint="eastAsia" w:ascii="Times New Roman" w:hAnsi="Times New Roman" w:eastAsia="Times New Roman" w:cs="Times New Roman"/>
              </w:rPr>
              <w:t>，</w:t>
            </w:r>
            <w:r>
              <w:rPr>
                <w:rFonts w:hint="eastAsia" w:ascii="Times New Roman" w:hAnsi="Times New Roman" w:eastAsia="FangSong" w:cs="Times New Roman"/>
              </w:rPr>
              <w:t>分析低配位数构型</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光谱项与</w:t>
            </w:r>
            <w:r>
              <w:rPr>
                <w:rFonts w:ascii="Times New Roman" w:hAnsi="Times New Roman" w:eastAsia="Times New Roman" w:cs="Times New Roman"/>
              </w:rPr>
              <w:t xml:space="preserve"> Orgel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由自由离子项在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场中的分裂读</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用空穴对偶律判能级序</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Tanabe-Sugano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T-S </w:t>
            </w:r>
            <w:r>
              <w:rPr>
                <w:rFonts w:hint="eastAsia" w:ascii="Times New Roman" w:hAnsi="Times New Roman" w:eastAsia="FangSong" w:cs="Times New Roman"/>
              </w:rPr>
              <w:t>图作参数反演</w:t>
            </w:r>
            <w:r>
              <w:rPr>
                <w:rFonts w:hint="eastAsia" w:ascii="Times New Roman" w:hAnsi="Times New Roman" w:eastAsia="Times New Roman" w:cs="Times New Roman"/>
              </w:rPr>
              <w:t>，</w:t>
            </w:r>
            <w:r>
              <w:rPr>
                <w:rFonts w:hint="eastAsia" w:ascii="Times New Roman" w:hAnsi="Times New Roman" w:eastAsia="FangSong" w:cs="Times New Roman"/>
              </w:rPr>
              <w:t>判高低自旋交叉与不相交原理</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与磁学</w:t>
            </w:r>
          </w:p>
        </w:tc>
        <w:tc>
          <w:tcPr/>
          <w:p>
            <w:pPr>
              <w:pStyle w:val="Compact"/>
              <w:jc w:val="center"/>
            </w:pPr>
            <w:r>
              <w:rPr>
                <w:rFonts w:hint="eastAsia" w:ascii="Times New Roman" w:hAnsi="Times New Roman" w:eastAsia="FangSong" w:cs="Times New Roman"/>
              </w:rPr>
              <w:t>分析一阶</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势能面分化</w:t>
            </w:r>
            <w:r>
              <w:rPr>
                <w:rFonts w:hint="eastAsia" w:ascii="Times New Roman" w:hAnsi="Times New Roman" w:eastAsia="Times New Roman" w:cs="Times New Roman"/>
              </w:rPr>
              <w:t>，</w:t>
            </w:r>
            <w:r>
              <w:rPr>
                <w:rFonts w:hint="eastAsia" w:ascii="Times New Roman" w:hAnsi="Times New Roman" w:eastAsia="FangSong" w:cs="Times New Roman"/>
              </w:rPr>
              <w:t>由变温磁化率求有效磁矩</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反位效应与多重键</w:t>
            </w:r>
          </w:p>
        </w:tc>
        <w:tc>
          <w:tcPr/>
          <w:p>
            <w:pPr>
              <w:pStyle w:val="Compact"/>
              <w:jc w:val="center"/>
            </w:pPr>
            <w:r>
              <w:rPr>
                <w:rFonts w:hint="eastAsia" w:ascii="Times New Roman" w:hAnsi="Times New Roman" w:eastAsia="FangSong" w:cs="Times New Roman"/>
              </w:rPr>
              <w:t>用反位影响</w:t>
            </w:r>
            <w:r>
              <w:rPr>
                <w:rFonts w:hint="eastAsia" w:ascii="Times New Roman" w:hAnsi="Times New Roman" w:eastAsia="Times New Roman" w:cs="Times New Roman"/>
              </w:rPr>
              <w:t>/</w:t>
            </w:r>
            <w:r>
              <w:rPr>
                <w:rFonts w:hint="eastAsia" w:ascii="Times New Roman" w:hAnsi="Times New Roman" w:eastAsia="FangSong" w:cs="Times New Roman"/>
              </w:rPr>
              <w:t>效应设计合成</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四重键能级图</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配位场与分子轨道</w:t>
            </w:r>
          </w:p>
        </w:tc>
        <w:tc>
          <w:tcPr/>
          <w:p>
            <w:pPr>
              <w:pStyle w:val="Compact"/>
              <w:jc w:val="center"/>
            </w:pPr>
            <w:r>
              <w:rPr>
                <w:rFonts w:hint="eastAsia" w:ascii="Times New Roman" w:hAnsi="Times New Roman" w:eastAsia="FangSong" w:cs="Times New Roman"/>
              </w:rPr>
              <w:t>掌握八面体配位场完整分子轨道能级图</w:t>
            </w:r>
            <w:r>
              <w:rPr>
                <w:rFonts w:hint="eastAsia" w:ascii="Times New Roman" w:hAnsi="Times New Roman" w:eastAsia="Times New Roman" w:cs="Times New Roman"/>
              </w:rPr>
              <w:t>，</w:t>
            </w:r>
            <w:r>
              <w:rPr>
                <w:rFonts w:hint="eastAsia" w:ascii="Times New Roman" w:hAnsi="Times New Roman" w:eastAsia="FangSong" w:cs="Times New Roman"/>
              </w:rPr>
              <w:t>理解金属前线轨道与配体群轨道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的对称性匹配</w:t>
            </w:r>
            <w:r>
              <w:rPr>
                <w:rFonts w:hint="eastAsia" w:ascii="Times New Roman" w:hAnsi="Times New Roman" w:eastAsia="Times New Roman" w:cs="Times New Roman"/>
              </w:rPr>
              <w:t>；</w:t>
            </w:r>
            <w:r>
              <w:rPr>
                <w:rFonts w:hint="eastAsia" w:ascii="Times New Roman" w:hAnsi="Times New Roman" w:eastAsia="FangSong" w:cs="Times New Roman"/>
              </w:rPr>
              <w:t>深入理解配体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受体相互作用微观本质</w:t>
            </w:r>
            <w:r>
              <w:rPr>
                <w:rFonts w:hint="eastAsia" w:ascii="Times New Roman" w:hAnsi="Times New Roman" w:eastAsia="Times New Roman" w:cs="Times New Roman"/>
              </w:rPr>
              <w:t>，</w:t>
            </w:r>
            <w:r>
              <w:rPr>
                <w:rFonts w:hint="eastAsia" w:ascii="Times New Roman" w:hAnsi="Times New Roman" w:eastAsia="FangSong" w:cs="Times New Roman"/>
              </w:rPr>
              <w:t>从前线轨道能级移动严格阐释光谱化学序列演化机制</w:t>
            </w:r>
            <w:r>
              <w:rPr>
                <w:rFonts w:hint="eastAsia" w:ascii="Times New Roman" w:hAnsi="Times New Roman" w:eastAsia="Times New Roman" w:cs="Times New Roman"/>
              </w:rPr>
              <w:t>；</w:t>
            </w:r>
            <w:r>
              <w:rPr>
                <w:rFonts w:hint="eastAsia" w:ascii="Times New Roman" w:hAnsi="Times New Roman" w:eastAsia="FangSong" w:cs="Times New Roman"/>
              </w:rPr>
              <w:t>掌握非八面体配位场能级分裂与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配位几何的热力学占位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光谱项与田边</w:t>
            </w:r>
            <w:r>
              <w:rPr>
                <w:rFonts w:hint="eastAsia" w:ascii="Times New Roman" w:hAnsi="Times New Roman" w:eastAsia="Times New Roman" w:cs="Times New Roman"/>
              </w:rPr>
              <w:t>-</w:t>
            </w:r>
            <w:r>
              <w:rPr>
                <w:rFonts w:hint="eastAsia" w:ascii="Times New Roman" w:hAnsi="Times New Roman" w:eastAsia="FangSong" w:cs="Times New Roman"/>
              </w:rPr>
              <w:t>菅野图</w:t>
            </w:r>
          </w:p>
        </w:tc>
        <w:tc>
          <w:tcPr/>
          <w:p>
            <w:pPr>
              <w:pStyle w:val="Compact"/>
              <w:jc w:val="center"/>
            </w:pPr>
            <w:r>
              <w:rPr>
                <w:rFonts w:hint="eastAsia" w:ascii="Times New Roman" w:hAnsi="Times New Roman" w:eastAsia="FangSong" w:cs="Times New Roman"/>
              </w:rPr>
              <w:t>熟练计算多电子原子的自由离子光谱项与微观状态数</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耦合与洪特规则</w:t>
            </w:r>
            <w:r>
              <w:rPr>
                <w:rFonts w:hint="eastAsia" w:ascii="Times New Roman" w:hAnsi="Times New Roman" w:eastAsia="Times New Roman" w:cs="Times New Roman"/>
              </w:rPr>
              <w:t>；</w:t>
            </w:r>
            <w:r>
              <w:rPr>
                <w:rFonts w:hint="eastAsia" w:ascii="Times New Roman" w:hAnsi="Times New Roman" w:eastAsia="FangSong" w:cs="Times New Roman"/>
              </w:rPr>
              <w:t>掌握自由离子能级在配位场中的不可约表示群论分裂</w:t>
            </w:r>
            <w:r>
              <w:rPr>
                <w:rFonts w:hint="eastAsia" w:ascii="Times New Roman" w:hAnsi="Times New Roman" w:eastAsia="Times New Roman" w:cs="Times New Roman"/>
              </w:rPr>
              <w:t>；</w:t>
            </w:r>
            <w:r>
              <w:rPr>
                <w:rFonts w:hint="eastAsia" w:ascii="Times New Roman" w:hAnsi="Times New Roman" w:eastAsia="FangSong" w:cs="Times New Roman"/>
              </w:rPr>
              <w:t>熟练运用</w:t>
            </w:r>
            <w:r>
              <w:rPr>
                <w:rFonts w:ascii="Times New Roman" w:hAnsi="Times New Roman" w:eastAsia="Times New Roman" w:cs="Times New Roman"/>
              </w:rPr>
              <w:t xml:space="preserve"> Orgel </w:t>
            </w:r>
            <w:r>
              <w:rPr>
                <w:rFonts w:hint="eastAsia" w:ascii="Times New Roman" w:hAnsi="Times New Roman" w:eastAsia="FangSong" w:cs="Times New Roman"/>
              </w:rPr>
              <w:t xml:space="preserve">简图与</w:t>
            </w:r>
            <w:r>
              <w:rPr>
                <w:rFonts w:ascii="Times New Roman" w:hAnsi="Times New Roman" w:eastAsia="Times New Roman" w:cs="Times New Roman"/>
              </w:rPr>
              <w:t xml:space="preserve"> </w:t>
            </w:r>
            <w:r>
              <w:rPr>
                <w:rFonts w:hint="eastAsia" w:ascii="Times New Roman" w:hAnsi="Times New Roman" w:eastAsia="Times New Roman" w:cs="Times New Roman"/>
              </w:rPr>
              <w:t>Tanabe-Sugano（T-S）</w:t>
            </w:r>
            <w:r>
              <w:rPr>
                <w:rFonts w:hint="eastAsia" w:ascii="Times New Roman" w:hAnsi="Times New Roman" w:eastAsia="FangSong" w:cs="Times New Roman"/>
              </w:rPr>
              <w:t>能级图解析配合物激发态演化</w:t>
            </w:r>
            <w:r>
              <w:rPr>
                <w:rFonts w:hint="eastAsia" w:ascii="Times New Roman" w:hAnsi="Times New Roman" w:eastAsia="Times New Roman" w:cs="Times New Roman"/>
              </w:rPr>
              <w:t>、</w:t>
            </w:r>
            <w:r>
              <w:rPr>
                <w:rFonts w:hint="eastAsia" w:ascii="Times New Roman" w:hAnsi="Times New Roman" w:eastAsia="FangSong" w:cs="Times New Roman"/>
              </w:rPr>
              <w:t>高低自旋交叉点及电子吸收光谱跃迁选律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泰勒畸变与结构化学</w:t>
            </w:r>
          </w:p>
        </w:tc>
        <w:tc>
          <w:tcPr/>
          <w:p>
            <w:pPr>
              <w:pStyle w:val="Compact"/>
              <w:jc w:val="center"/>
            </w:pPr>
            <w:r>
              <w:rPr>
                <w:rFonts w:hint="eastAsia" w:ascii="Times New Roman" w:hAnsi="Times New Roman" w:eastAsia="FangSong" w:cs="Times New Roman"/>
              </w:rPr>
              <w:t xml:space="preserve">深刻理解</w:t>
            </w:r>
            <w:r>
              <w:rPr>
                <w:rFonts w:ascii="Times New Roman" w:hAnsi="Times New Roman" w:eastAsia="Times New Roman" w:cs="Times New Roman"/>
              </w:rPr>
              <w:t xml:space="preserve"> Jahn-Teller </w:t>
            </w:r>
            <w:r>
              <w:rPr>
                <w:rFonts w:hint="eastAsia" w:ascii="Times New Roman" w:hAnsi="Times New Roman" w:eastAsia="FangSong" w:cs="Times New Roman"/>
              </w:rPr>
              <w:t>定理的物理本质与一阶电子简并消除驱动力</w:t>
            </w:r>
            <w:r>
              <w:rPr>
                <w:rFonts w:hint="eastAsia" w:ascii="Times New Roman" w:hAnsi="Times New Roman" w:eastAsia="Times New Roman" w:cs="Times New Roman"/>
              </w:rPr>
              <w:t>；</w:t>
            </w:r>
            <w:r>
              <w:rPr>
                <w:rFonts w:hint="eastAsia" w:ascii="Times New Roman" w:hAnsi="Times New Roman" w:eastAsia="FangSong" w:cs="Times New Roman"/>
              </w:rPr>
              <w:t>精确判断强弱</w:t>
            </w:r>
            <w:r>
              <w:rPr>
                <w:rFonts w:ascii="Times New Roman" w:hAnsi="Times New Roman" w:eastAsia="Times New Roman" w:cs="Times New Roman"/>
              </w:rPr>
              <w:t xml:space="preserve"> JT </w:t>
            </w:r>
            <w:r>
              <w:rPr>
                <w:rFonts w:hint="eastAsia" w:ascii="Times New Roman" w:hAnsi="Times New Roman" w:eastAsia="FangSong" w:cs="Times New Roman"/>
              </w:rPr>
              <w:t>效应的电子构型</w:t>
            </w:r>
            <w:r>
              <w:rPr>
                <w:rFonts w:hint="eastAsia" w:ascii="Times New Roman" w:hAnsi="Times New Roman" w:eastAsia="Times New Roman" w:cs="Times New Roman"/>
              </w:rPr>
              <w:t>，</w:t>
            </w:r>
            <w:r>
              <w:rPr>
                <w:rFonts w:hint="eastAsia" w:ascii="Times New Roman" w:hAnsi="Times New Roman" w:eastAsia="FangSong" w:cs="Times New Roman"/>
              </w:rPr>
              <w:t>阐述四角拉伸与四角压缩的势能面分化</w:t>
            </w:r>
            <w:r>
              <w:rPr>
                <w:rFonts w:hint="eastAsia" w:ascii="Times New Roman" w:hAnsi="Times New Roman" w:eastAsia="Times New Roman" w:cs="Times New Roman"/>
              </w:rPr>
              <w:t>；</w:t>
            </w:r>
            <w:r>
              <w:rPr>
                <w:rFonts w:hint="eastAsia" w:ascii="Times New Roman" w:hAnsi="Times New Roman" w:eastAsia="FangSong" w:cs="Times New Roman"/>
              </w:rPr>
              <w:t>掌握动态</w:t>
            </w:r>
            <w:r>
              <w:rPr>
                <w:rFonts w:ascii="Times New Roman" w:hAnsi="Times New Roman" w:eastAsia="Times New Roman" w:cs="Times New Roman"/>
              </w:rPr>
              <w:t xml:space="preserve"> JT </w:t>
            </w:r>
            <w:r>
              <w:rPr>
                <w:rFonts w:hint="eastAsia" w:ascii="Times New Roman" w:hAnsi="Times New Roman" w:eastAsia="FangSong" w:cs="Times New Roman"/>
              </w:rPr>
              <w:t>效应在时间平均尺度上的微观行为</w:t>
            </w:r>
            <w:r>
              <w:rPr>
                <w:rFonts w:hint="eastAsia" w:ascii="Times New Roman" w:hAnsi="Times New Roman" w:eastAsia="Times New Roman" w:cs="Times New Roman"/>
              </w:rPr>
              <w:t>，</w:t>
            </w:r>
            <w:r>
              <w:rPr>
                <w:rFonts w:hint="eastAsia" w:ascii="Times New Roman" w:hAnsi="Times New Roman" w:eastAsia="FangSong" w:cs="Times New Roman"/>
              </w:rPr>
              <w:t>并理解二阶</w:t>
            </w:r>
            <w:r>
              <w:rPr>
                <w:rFonts w:ascii="Times New Roman" w:hAnsi="Times New Roman" w:eastAsia="Times New Roman" w:cs="Times New Roman"/>
              </w:rPr>
              <w:t xml:space="preserve"> JT </w:t>
            </w:r>
            <w:r>
              <w:rPr>
                <w:rFonts w:hint="eastAsia" w:ascii="Times New Roman" w:hAnsi="Times New Roman" w:eastAsia="FangSong" w:cs="Times New Roman"/>
              </w:rPr>
              <w:t>效应诱发的中心对称破缺与铁电极化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反位效应与反应动力学</w:t>
            </w:r>
          </w:p>
        </w:tc>
        <w:tc>
          <w:tcPr/>
          <w:p>
            <w:pPr>
              <w:pStyle w:val="Compact"/>
              <w:jc w:val="center"/>
            </w:pPr>
            <w:r>
              <w:rPr>
                <w:rFonts w:hint="eastAsia" w:ascii="Times New Roman" w:hAnsi="Times New Roman" w:eastAsia="FangSong" w:cs="Times New Roman"/>
              </w:rPr>
              <w:t>严格区分热力学反位影响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过渡态效应</w:t>
            </w:r>
            <w:r>
              <w:rPr>
                <w:rFonts w:hint="eastAsia" w:ascii="Times New Roman" w:hAnsi="Times New Roman" w:eastAsia="Times New Roman" w:cs="Times New Roman"/>
              </w:rPr>
              <w:t>）；</w:t>
            </w:r>
            <w:r>
              <w:rPr>
                <w:rFonts w:hint="eastAsia" w:ascii="Times New Roman" w:hAnsi="Times New Roman" w:eastAsia="FangSong" w:cs="Times New Roman"/>
              </w:rPr>
              <w:t>掌握平面四方配合物亲核取代反应的五配位三角双锥缔合机理</w:t>
            </w:r>
            <w:r>
              <w:rPr>
                <w:rFonts w:hint="eastAsia" w:ascii="Times New Roman" w:hAnsi="Times New Roman" w:eastAsia="Times New Roman" w:cs="Times New Roman"/>
              </w:rPr>
              <w:t>，</w:t>
            </w:r>
            <w:r>
              <w:rPr>
                <w:rFonts w:hint="eastAsia" w:ascii="Times New Roman" w:hAnsi="Times New Roman" w:eastAsia="FangSong" w:cs="Times New Roman"/>
              </w:rPr>
              <w:t>并熟练运用反位效应序列进行复杂配合物几何异构体的定向全合成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磁学性质与多重键化学</w:t>
            </w:r>
          </w:p>
        </w:tc>
        <w:tc>
          <w:tcPr/>
          <w:p>
            <w:pPr>
              <w:pStyle w:val="Compact"/>
              <w:jc w:val="center"/>
            </w:pPr>
            <w:r>
              <w:rPr>
                <w:rFonts w:hint="eastAsia" w:ascii="Times New Roman" w:hAnsi="Times New Roman" w:eastAsia="FangSong" w:cs="Times New Roman"/>
              </w:rPr>
              <w:t>熟练掌握唯自旋磁矩与轨道角动量贡献判据</w:t>
            </w:r>
            <w:r>
              <w:rPr>
                <w:rFonts w:hint="eastAsia" w:ascii="Times New Roman" w:hAnsi="Times New Roman" w:eastAsia="Times New Roman" w:cs="Times New Roman"/>
              </w:rPr>
              <w:t>，</w:t>
            </w:r>
            <w:r>
              <w:rPr>
                <w:rFonts w:hint="eastAsia" w:ascii="Times New Roman" w:hAnsi="Times New Roman" w:eastAsia="FangSong" w:cs="Times New Roman"/>
              </w:rPr>
              <w:t>理解配位场中轨道角动量猝灭机制与自旋交叉</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掌握金属</w:t>
            </w:r>
            <w:r>
              <w:rPr>
                <w:rFonts w:hint="eastAsia" w:ascii="Times New Roman" w:hAnsi="Times New Roman" w:eastAsia="Times New Roman" w:cs="Times New Roman"/>
              </w:rPr>
              <w:t>-</w:t>
            </w:r>
            <w:r>
              <w:rPr>
                <w:rFonts w:hint="eastAsia" w:ascii="Times New Roman" w:hAnsi="Times New Roman" w:eastAsia="FangSong" w:cs="Times New Roman"/>
              </w:rPr>
              <w:t>金属四重键</w:t>
            </w:r>
            <w:r>
              <w:rPr>
                <w:rFonts w:hint="eastAsia" w:ascii="Times New Roman" w:hAnsi="Times New Roman" w:eastAsia="Times New Roman" w:cs="Times New Roman"/>
              </w:rPr>
              <w:t>（</w:t>
            </w:r>
            <m:oMath>
              <m:r>
                <m:t>σ</m:t>
              </m:r>
              <m:r>
                <m:rPr>
                  <m:sty m:val="p"/>
                </m:rPr>
                <m:t>+</m:t>
              </m:r>
              <m:r>
                <m:t>2</m:t>
              </m:r>
              <m:r>
                <m:t>π</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分子轨道能级图与面对面重叠几何</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键对重叠构象的热力学钳制及多核簇合物成键特征</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9"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090"/>
            <wp:effectExtent b="0" l="0" r="0" t="0"/>
            <wp:docPr descr="" title="" id="11" name="Picture"/>
            <a:graphic>
              <a:graphicData uri="http://schemas.openxmlformats.org/drawingml/2006/picture">
                <pic:pic>
                  <pic:nvPicPr>
                    <pic:cNvPr descr="7937fa3a4ad6d5d9124ba067bca2710abd9c4ab591c0e70741f298f0452bda78.png" id="12" name="Picture"/>
                    <pic:cNvPicPr>
                      <a:picLocks noChangeArrowheads="1" noChangeAspect="1"/>
                    </pic:cNvPicPr>
                  </pic:nvPicPr>
                  <pic:blipFill>
                    <a:blip r:embed="rId10"/>
                    <a:stretch>
                      <a:fillRect/>
                    </a:stretch>
                  </pic:blipFill>
                  <pic:spPr bwMode="auto">
                    <a:xfrm>
                      <a:off x="0" y="0"/>
                      <a:ext cx="2667000" cy="171009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w:t>
      </w:r>
      <w:r>
        <w:rPr>
          <w:rFonts w:hint="eastAsia" w:ascii="Times New Roman" w:hAnsi="Times New Roman" w:eastAsia="FangSong" w:cs="Times New Roman"/>
          <w:b w:val="0"/>
          <w:i w:val="0"/>
          <w:sz w:val="21"/>
        </w:rPr>
        <w:t>八面体配位场轨道能级分裂</w:t>
      </w:r>
    </w:p>
    <w:p>
      <w:pPr>
        <w:pStyle w:val="FirstParagraph"/>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1376"/>
            <wp:effectExtent b="0" l="0" r="0" t="0"/>
            <wp:docPr descr="" title="" id="14" name="Picture"/>
            <a:graphic>
              <a:graphicData uri="http://schemas.openxmlformats.org/drawingml/2006/picture">
                <pic:pic>
                  <pic:nvPicPr>
                    <pic:cNvPr descr="e2e8ec17997c6b450e61e34f4a577a45945dbb590b9d68d47c67c367085c1250.png" id="15" name="Picture"/>
                    <pic:cNvPicPr>
                      <a:picLocks noChangeArrowheads="1" noChangeAspect="1"/>
                    </pic:cNvPicPr>
                  </pic:nvPicPr>
                  <pic:blipFill>
                    <a:blip r:embed="rId13"/>
                    <a:stretch>
                      <a:fillRect/>
                    </a:stretch>
                  </pic:blipFill>
                  <pic:spPr bwMode="auto">
                    <a:xfrm>
                      <a:off x="0" y="0"/>
                      <a:ext cx="2667000" cy="246137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高低自旋电子构型判据流程</w:t>
      </w:r>
    </w:p>
    <w:p>
      <w:pPr>
        <w:pStyle w:val="FirstParagraph"/>
        <w:spacing w:before="160" w:after="80"/>
        <w:jc w:val="center"/>
      </w:pPr>
      <w:r>
        <w:rPr>
          <w:rFonts w:ascii="Times New Roman" w:hAnsi="Times New Roman" w:eastAsia="Times New Roman" w:cs="Times New Roman"/>
        </w:rPr>
        <w:drawing>
          <wp:inline>
            <wp:extent cx="2667000" cy="918286"/>
            <wp:effectExtent b="0" l="0" r="0" t="0"/>
            <wp:docPr descr="" title="" id="17" name="Picture"/>
            <a:graphic>
              <a:graphicData uri="http://schemas.openxmlformats.org/drawingml/2006/picture">
                <pic:pic>
                  <pic:nvPicPr>
                    <pic:cNvPr descr="d72347c3cfbe30dc1a3de473003eec8081ff501dd0bd3a719c73a5b18f824230.png" id="18" name="Picture"/>
                    <pic:cNvPicPr>
                      <a:picLocks noChangeArrowheads="1" noChangeAspect="1"/>
                    </pic:cNvPicPr>
                  </pic:nvPicPr>
                  <pic:blipFill>
                    <a:blip r:embed="rId16"/>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光谱化学序列与配位场强演化</w:t>
      </w:r>
    </w:p>
    <w:p>
      <w:pPr>
        <w:pStyle w:val="FirstParagraph"/>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020"/>
            <wp:effectExtent b="0" l="0" r="0" t="0"/>
            <wp:docPr descr="" title="" id="21" name="Picture"/>
            <a:graphic>
              <a:graphicData uri="http://schemas.openxmlformats.org/drawingml/2006/picture">
                <pic:pic>
                  <pic:nvPicPr>
                    <pic:cNvPr descr="f89e4c238e305a028de1a6948f88e8e271b32284021b9432e65674ef6d8a9e9a.png" id="22" name="Picture"/>
                    <pic:cNvPicPr>
                      <a:picLocks noChangeArrowheads="1" noChangeAspect="1"/>
                    </pic:cNvPicPr>
                  </pic:nvPicPr>
                  <pic:blipFill>
                    <a:blip r:embed="rId20"/>
                    <a:stretch>
                      <a:fillRect/>
                    </a:stretch>
                  </pic:blipFill>
                  <pic:spPr bwMode="auto">
                    <a:xfrm>
                      <a:off x="0" y="0"/>
                      <a:ext cx="2667000" cy="168402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轨道面临极其强烈的正向受斥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电子能够极其完美地填满能量较低的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26" name="Picture"/>
            <a:graphic>
              <a:graphicData uri="http://schemas.openxmlformats.org/drawingml/2006/picture">
                <pic:pic>
                  <pic:nvPicPr>
                    <pic:cNvPr descr="TS_d2_diagram.png" id="27" name="Picture"/>
                    <pic:cNvPicPr>
                      <a:picLocks noChangeArrowheads="1" noChangeAspect="1"/>
                    </pic:cNvPicPr>
                  </pic:nvPicPr>
                  <pic:blipFill>
                    <a:blip r:embed="rId25"/>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二电子体系田边菅野能级图</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29" name="Picture"/>
            <a:graphic>
              <a:graphicData uri="http://schemas.openxmlformats.org/drawingml/2006/picture">
                <pic:pic>
                  <pic:nvPicPr>
                    <pic:cNvPr descr="7e6642f0118c9e10be90ae3e451f5fa94987e8f95dfc70afa90103026707f461.png" id="30" name="Picture"/>
                    <pic:cNvPicPr>
                      <a:picLocks noChangeArrowheads="1" noChangeAspect="1"/>
                    </pic:cNvPicPr>
                  </pic:nvPicPr>
                  <pic:blipFill>
                    <a:blip r:embed="rId28"/>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8-6：</w:t>
      </w:r>
      <w:r>
        <w:rPr>
          <w:rFonts w:hint="eastAsia" w:ascii="Times New Roman" w:hAnsi="Times New Roman" w:eastAsia="FangSong" w:cs="Times New Roman"/>
          <w:b w:val="0"/>
          <w:i w:val="0"/>
          <w:sz w:val="21"/>
        </w:rPr>
        <w:t>强场低自旋六电子电子排布</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32" name="Picture"/>
            <a:graphic>
              <a:graphicData uri="http://schemas.openxmlformats.org/drawingml/2006/picture">
                <pic:pic>
                  <pic:nvPicPr>
                    <pic:cNvPr descr="462bb0d51f4637d925499fad2c2e01f24b48b239d705bc64144785b551d67ed4.png" id="33" name="Picture"/>
                    <pic:cNvPicPr>
                      <a:picLocks noChangeArrowheads="1" noChangeAspect="1"/>
                    </pic:cNvPicPr>
                  </pic:nvPicPr>
                  <pic:blipFill>
                    <a:blip r:embed="rId31"/>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8-7：</w:t>
      </w:r>
      <w:r>
        <w:rPr>
          <w:rFonts w:hint="eastAsia" w:ascii="Times New Roman" w:hAnsi="Times New Roman" w:eastAsia="FangSong" w:cs="Times New Roman"/>
          <w:b w:val="0"/>
          <w:i w:val="0"/>
          <w:sz w:val="21"/>
        </w:rPr>
        <w:t>强场低自旋五电子电子排布</w:t>
      </w:r>
    </w:p>
    <w:p>
      <w:pPr>
        <w:pStyle w:val="FirstParagraph"/>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的摩尔吸光系数暴增至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宏观上表现为水合二价锰溶液呈现极其微弱几近无色的肉粉色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图在坐标定义与数学归一化上采用了极为高明的物理策略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图为了使读谱人员能够极其直观地将任何纵向能量差直接对应于实验室测得的光谱跃迁吸收频率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5"/>
    <w:bookmarkStart w:id="48"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37" name="Picture"/>
            <a:graphic>
              <a:graphicData uri="http://schemas.openxmlformats.org/drawingml/2006/picture">
                <pic:pic>
                  <pic:nvPicPr>
                    <pic:cNvPr descr="733d5cd6b7c50c4f85af83fda6c8d39a5745cc400e8c51ada56accd436f38d99.jpg" id="38" name="Picture"/>
                    <pic:cNvPicPr>
                      <a:picLocks noChangeArrowheads="1" noChangeAspect="1"/>
                    </pic:cNvPicPr>
                  </pic:nvPicPr>
                  <pic:blipFill>
                    <a:blip r:embed="rId36"/>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8-8：</w:t>
      </w:r>
      <w:r>
        <w:rPr>
          <w:rFonts w:hint="eastAsia" w:ascii="Times New Roman" w:hAnsi="Times New Roman" w:eastAsia="FangSong" w:cs="Times New Roman"/>
          <w:b w:val="0"/>
          <w:i w:val="0"/>
          <w:sz w:val="21"/>
        </w:rPr>
        <w:t>九电子八面体四角拉伸畸变</w:t>
      </w:r>
    </w:p>
    <w:p>
      <w:pPr>
        <w:pStyle w:val="FirstParagraph"/>
        <w:spacing w:before="160" w:after="80"/>
        <w:jc w:val="center"/>
      </w:pPr>
      <w:r>
        <w:rPr>
          <w:rFonts w:ascii="Times New Roman" w:hAnsi="Times New Roman" w:eastAsia="Times New Roman" w:cs="Times New Roman"/>
        </w:rPr>
        <w:drawing>
          <wp:inline>
            <wp:extent cx="2667000" cy="504000"/>
            <wp:effectExtent b="0" l="0" r="0" t="0"/>
            <wp:docPr descr="" title="" id="40" name="Picture"/>
            <a:graphic>
              <a:graphicData uri="http://schemas.openxmlformats.org/drawingml/2006/picture">
                <pic:pic>
                  <pic:nvPicPr>
                    <pic:cNvPr descr="f90ab8df6868eb136e8007f176fcd01336bdb483c7a7a314ed52ac04bf497cfc.jpg" id="41" name="Picture"/>
                    <pic:cNvPicPr>
                      <a:picLocks noChangeArrowheads="1" noChangeAspect="1"/>
                    </pic:cNvPicPr>
                  </pic:nvPicPr>
                  <pic:blipFill>
                    <a:blip r:embed="rId39"/>
                    <a:stretch>
                      <a:fillRect/>
                    </a:stretch>
                  </pic:blipFill>
                  <pic:spPr bwMode="auto">
                    <a:xfrm>
                      <a:off x="0" y="0"/>
                      <a:ext cx="2667000" cy="504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8-9：</w:t>
      </w:r>
      <w:r>
        <w:rPr>
          <w:rFonts w:hint="eastAsia" w:ascii="Times New Roman" w:hAnsi="Times New Roman" w:eastAsia="FangSong" w:cs="Times New Roman"/>
          <w:b w:val="0"/>
          <w:i w:val="0"/>
          <w:sz w:val="21"/>
        </w:rPr>
        <w:t>强姜泰勒效应电子构型对比</w:t>
      </w:r>
    </w:p>
    <w:p>
      <w:pPr>
        <w:pStyle w:val="FirstParagraph"/>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43" name="Picture"/>
            <a:graphic>
              <a:graphicData uri="http://schemas.openxmlformats.org/drawingml/2006/picture">
                <pic:pic>
                  <pic:nvPicPr>
                    <pic:cNvPr descr="ee93040a7a663e19c733aaddd2f923a082b50591baeeb1ee85766b3e87157181.jpg" id="44" name="Picture"/>
                    <pic:cNvPicPr>
                      <a:picLocks noChangeArrowheads="1" noChangeAspect="1"/>
                    </pic:cNvPicPr>
                  </pic:nvPicPr>
                  <pic:blipFill>
                    <a:blip r:embed="rId42"/>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8-10：</w:t>
      </w:r>
      <w:r>
        <w:rPr>
          <w:rFonts w:hint="eastAsia" w:ascii="Times New Roman" w:hAnsi="Times New Roman" w:eastAsia="FangSong" w:cs="Times New Roman"/>
          <w:b w:val="0"/>
          <w:i w:val="0"/>
          <w:sz w:val="21"/>
        </w:rPr>
        <w:t>姜泰勒效应对水交换速率影响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46" name="Picture"/>
            <a:graphic>
              <a:graphicData uri="http://schemas.openxmlformats.org/drawingml/2006/picture">
                <pic:pic>
                  <pic:nvPicPr>
                    <pic:cNvPr descr="9ea24f1ec0a45fbba62b375e1af7cb45b61dcd26b98e0ac0377e4a5ca3f040b8.jpg" id="47" name="Picture"/>
                    <pic:cNvPicPr>
                      <a:picLocks noChangeArrowheads="1" noChangeAspect="1"/>
                    </pic:cNvPicPr>
                  </pic:nvPicPr>
                  <pic:blipFill>
                    <a:blip r:embed="rId45"/>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8-11：</w:t>
      </w:r>
      <w:r>
        <w:rPr>
          <w:rFonts w:hint="eastAsia" w:ascii="Times New Roman" w:hAnsi="Times New Roman" w:eastAsia="FangSong" w:cs="Times New Roman"/>
          <w:b w:val="0"/>
          <w:i w:val="0"/>
          <w:sz w:val="21"/>
        </w:rPr>
        <w:t>水交换速率常数双峰变化趋势</w:t>
      </w:r>
    </w:p>
    <w:p>
      <w:pPr>
        <w:pStyle w:val="FirstParagraph"/>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其对配体骨架产生的受斥差异极其微弱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而且对溶液中配合物的反应动力学产生断崖式的影响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水交换速率极其缓慢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水交换速率常数跃升至惊人的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8"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670"/>
            <wp:effectExtent b="0" l="0" r="0" t="0"/>
            <wp:docPr descr="" title="" id="50" name="Picture"/>
            <a:graphic>
              <a:graphicData uri="http://schemas.openxmlformats.org/drawingml/2006/picture">
                <pic:pic>
                  <pic:nvPicPr>
                    <pic:cNvPr descr="7288652bb0393cf18a8039614ce80a000b57f5f2b0f5b662fae7e66a5f0a0a95.png" id="51" name="Picture"/>
                    <pic:cNvPicPr>
                      <a:picLocks noChangeArrowheads="1" noChangeAspect="1"/>
                    </pic:cNvPicPr>
                  </pic:nvPicPr>
                  <pic:blipFill>
                    <a:blip r:embed="rId49"/>
                    <a:stretch>
                      <a:fillRect/>
                    </a:stretch>
                  </pic:blipFill>
                  <pic:spPr bwMode="auto">
                    <a:xfrm>
                      <a:off x="0" y="0"/>
                      <a:ext cx="2667000" cy="113867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8-12：</w:t>
      </w:r>
      <w:r>
        <w:rPr>
          <w:rFonts w:hint="eastAsia" w:ascii="Times New Roman" w:hAnsi="Times New Roman" w:eastAsia="FangSong" w:cs="Times New Roman"/>
          <w:b w:val="0"/>
          <w:i w:val="0"/>
          <w:sz w:val="21"/>
        </w:rPr>
        <w:t>蔡斯盐协同成键轨道重叠机制</w:t>
      </w:r>
    </w:p>
    <w:p>
      <w:pPr>
        <w:pStyle w:val="FirstParagraph"/>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39165"/>
            <wp:effectExtent b="0" l="0" r="0" t="0"/>
            <wp:docPr descr="" title="" id="53" name="Picture"/>
            <a:graphic>
              <a:graphicData uri="http://schemas.openxmlformats.org/drawingml/2006/picture">
                <pic:pic>
                  <pic:nvPicPr>
                    <pic:cNvPr descr="9afe4b647f19c9e18364f1f5ab5eb021081e7778289cd55cb345f9c852157842.jpg" id="54" name="Picture"/>
                    <pic:cNvPicPr>
                      <a:picLocks noChangeArrowheads="1" noChangeAspect="1"/>
                    </pic:cNvPicPr>
                  </pic:nvPicPr>
                  <pic:blipFill>
                    <a:blip r:embed="rId52"/>
                    <a:stretch>
                      <a:fillRect/>
                    </a:stretch>
                  </pic:blipFill>
                  <pic:spPr bwMode="auto">
                    <a:xfrm>
                      <a:off x="0" y="0"/>
                      <a:ext cx="2667000" cy="12391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8-24：</w:t>
      </w:r>
      <w:r>
        <w:rPr>
          <w:rFonts w:hint="eastAsia" w:ascii="Times New Roman" w:hAnsi="Times New Roman" w:eastAsia="FangSong" w:cs="Times New Roman"/>
          <w:b w:val="0"/>
          <w:i w:val="0"/>
          <w:sz w:val="21"/>
        </w:rPr>
        <w:t>双核桥联双氮配合物晶体结构</w:t>
      </w:r>
    </w:p>
    <w:p>
      <w:pPr>
        <w:pStyle w:val="FirstParagraph"/>
        <w:spacing w:before="160" w:after="80"/>
        <w:jc w:val="center"/>
      </w:pPr>
      <w:r>
        <w:rPr>
          <w:rFonts w:ascii="Times New Roman" w:hAnsi="Times New Roman" w:eastAsia="Times New Roman" w:cs="Times New Roman"/>
        </w:rPr>
        <w:drawing>
          <wp:inline>
            <wp:extent cx="2667000" cy="2020075"/>
            <wp:effectExtent b="0" l="0" r="0" t="0"/>
            <wp:docPr descr="" title="" id="56" name="Picture"/>
            <a:graphic>
              <a:graphicData uri="http://schemas.openxmlformats.org/drawingml/2006/picture">
                <pic:pic>
                  <pic:nvPicPr>
                    <pic:cNvPr descr="3ff78398b79fda8a1f4cac1931856cc9ac11861ba3790662eafbea2a5c7b26fb.jpg" id="57" name="Picture"/>
                    <pic:cNvPicPr>
                      <a:picLocks noChangeArrowheads="1" noChangeAspect="1"/>
                    </pic:cNvPicPr>
                  </pic:nvPicPr>
                  <pic:blipFill>
                    <a:blip r:embed="rId55"/>
                    <a:stretch>
                      <a:fillRect/>
                    </a:stretch>
                  </pic:blipFill>
                  <pic:spPr bwMode="auto">
                    <a:xfrm>
                      <a:off x="0" y="0"/>
                      <a:ext cx="2667000" cy="202007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8-25：</w:t>
      </w:r>
      <w:r>
        <w:rPr>
          <w:rFonts w:hint="eastAsia" w:ascii="Times New Roman" w:hAnsi="Times New Roman" w:eastAsia="FangSong" w:cs="Times New Roman"/>
          <w:b w:val="0"/>
          <w:i w:val="0"/>
          <w:sz w:val="21"/>
        </w:rPr>
        <w:t>威尔金森催化剂均相催化循环</w:t>
      </w:r>
    </w:p>
    <w:p>
      <w:pPr>
        <w:pStyle w:val="FirstParagraph"/>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轨道发生极度强烈的双向反馈成键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8"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658146"/>
            <wp:effectExtent b="0" l="0" r="0" t="0"/>
            <wp:docPr descr="" title="" id="60" name="Picture"/>
            <a:graphic>
              <a:graphicData uri="http://schemas.openxmlformats.org/drawingml/2006/picture">
                <pic:pic>
                  <pic:nvPicPr>
                    <pic:cNvPr descr="b6cad1e8751a1996d7f9f262f4a72caaa81077100f178579ab10795fed76636c.jpg" id="61" name="Picture"/>
                    <pic:cNvPicPr>
                      <a:picLocks noChangeArrowheads="1" noChangeAspect="1"/>
                    </pic:cNvPicPr>
                  </pic:nvPicPr>
                  <pic:blipFill>
                    <a:blip r:embed="rId59"/>
                    <a:stretch>
                      <a:fillRect/>
                    </a:stretch>
                  </pic:blipFill>
                  <pic:spPr bwMode="auto">
                    <a:xfrm>
                      <a:off x="0" y="0"/>
                      <a:ext cx="2667000" cy="6581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8-13：</w:t>
      </w:r>
      <w:r>
        <w:rPr>
          <w:rFonts w:hint="eastAsia" w:ascii="Times New Roman" w:hAnsi="Times New Roman" w:eastAsia="FangSong" w:cs="Times New Roman"/>
          <w:b w:val="0"/>
          <w:i w:val="0"/>
          <w:sz w:val="21"/>
        </w:rPr>
        <w:t>反位效应调控顺反异构体合成</w:t>
      </w:r>
    </w:p>
    <w:p>
      <w:pPr>
        <w:pStyle w:val="FirstParagraph"/>
        <w:spacing w:before="160" w:after="80"/>
        <w:jc w:val="center"/>
      </w:pPr>
      <w:r>
        <w:rPr>
          <w:rFonts w:ascii="Times New Roman" w:hAnsi="Times New Roman" w:eastAsia="Times New Roman" w:cs="Times New Roman"/>
        </w:rPr>
        <w:drawing>
          <wp:inline>
            <wp:extent cx="2667000" cy="1246960"/>
            <wp:effectExtent b="0" l="0" r="0" t="0"/>
            <wp:docPr descr="" title="" id="63" name="Picture"/>
            <a:graphic>
              <a:graphicData uri="http://schemas.openxmlformats.org/drawingml/2006/picture">
                <pic:pic>
                  <pic:nvPicPr>
                    <pic:cNvPr descr="5097664b1e3ddf262494a7ad69bc284567d027354d28d849281fb9515743f2cf.jpg" id="64" name="Picture"/>
                    <pic:cNvPicPr>
                      <a:picLocks noChangeArrowheads="1" noChangeAspect="1"/>
                    </pic:cNvPicPr>
                  </pic:nvPicPr>
                  <pic:blipFill>
                    <a:blip r:embed="rId62"/>
                    <a:stretch>
                      <a:fillRect/>
                    </a:stretch>
                  </pic:blipFill>
                  <pic:spPr bwMode="auto">
                    <a:xfrm>
                      <a:off x="0" y="0"/>
                      <a:ext cx="2667000" cy="124696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8-14：</w:t>
      </w:r>
      <w:r>
        <w:rPr>
          <w:rFonts w:hint="eastAsia" w:ascii="Times New Roman" w:hAnsi="Times New Roman" w:eastAsia="FangSong" w:cs="Times New Roman"/>
          <w:b w:val="0"/>
          <w:i w:val="0"/>
          <w:sz w:val="21"/>
        </w:rPr>
        <w:t>二价铂平面四方顺反空间异构</w:t>
      </w:r>
    </w:p>
    <w:p>
      <w:pPr>
        <w:pStyle w:val="FirstParagraph"/>
        <w:spacing w:before="160" w:after="80"/>
        <w:jc w:val="center"/>
      </w:pPr>
      <w:r>
        <w:rPr>
          <w:rFonts w:ascii="Times New Roman" w:hAnsi="Times New Roman" w:eastAsia="Times New Roman" w:cs="Times New Roman"/>
        </w:rPr>
        <w:drawing>
          <wp:inline>
            <wp:extent cx="2520000" cy="5554921"/>
            <wp:effectExtent b="0" l="0" r="0" t="0"/>
            <wp:docPr descr="" title="" id="66" name="Picture"/>
            <a:graphic>
              <a:graphicData uri="http://schemas.openxmlformats.org/drawingml/2006/picture">
                <pic:pic>
                  <pic:nvPicPr>
                    <pic:cNvPr descr="5cbe9bd1a586edd3926c644c925941baf0b05e9a6b1b00afc4684a52541604e0.jpg" id="67" name="Picture"/>
                    <pic:cNvPicPr>
                      <a:picLocks noChangeArrowheads="1" noChangeAspect="1"/>
                    </pic:cNvPicPr>
                  </pic:nvPicPr>
                  <pic:blipFill>
                    <a:blip r:embed="rId65"/>
                    <a:stretch>
                      <a:fillRect/>
                    </a:stretch>
                  </pic:blipFill>
                  <pic:spPr bwMode="auto">
                    <a:xfrm>
                      <a:off x="0" y="0"/>
                      <a:ext cx="2520000" cy="55549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8-15：</w:t>
      </w:r>
      <w:r>
        <w:rPr>
          <w:rFonts w:hint="eastAsia" w:ascii="Times New Roman" w:hAnsi="Times New Roman" w:eastAsia="FangSong" w:cs="Times New Roman"/>
          <w:b w:val="0"/>
          <w:i w:val="0"/>
          <w:sz w:val="21"/>
        </w:rPr>
        <w:t>顺铂交联鸟嘌呤抑制复制机理</w:t>
      </w:r>
    </w:p>
    <w:p>
      <w:pPr>
        <w:pStyle w:val="FirstParagraph"/>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使整个取代活化能垒断崖式暴跌</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位咪唑氮原子形成极为吻合的顺式双齿螯合交联键合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6508"/>
            <wp:effectExtent b="0" l="0" r="0" t="0"/>
            <wp:docPr descr="" title="" id="70" name="Picture"/>
            <a:graphic>
              <a:graphicData uri="http://schemas.openxmlformats.org/drawingml/2006/picture">
                <pic:pic>
                  <pic:nvPicPr>
                    <pic:cNvPr descr="de4bed903e126d54bf8c97915bbaf13af82756f7b7560ef15e36f480abc28acb.jpg" id="71" name="Picture"/>
                    <pic:cNvPicPr>
                      <a:picLocks noChangeArrowheads="1" noChangeAspect="1"/>
                    </pic:cNvPicPr>
                  </pic:nvPicPr>
                  <pic:blipFill>
                    <a:blip r:embed="rId69"/>
                    <a:stretch>
                      <a:fillRect/>
                    </a:stretch>
                  </pic:blipFill>
                  <pic:spPr bwMode="auto">
                    <a:xfrm>
                      <a:off x="0" y="0"/>
                      <a:ext cx="2667000" cy="24165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8-16：</w:t>
      </w:r>
      <w:r>
        <w:rPr>
          <w:rFonts w:hint="eastAsia" w:ascii="Times New Roman" w:hAnsi="Times New Roman" w:eastAsia="FangSong" w:cs="Times New Roman"/>
          <w:b w:val="0"/>
          <w:i w:val="0"/>
          <w:sz w:val="21"/>
        </w:rPr>
        <w:t>各类磁性物质变温磁化率曲线</w:t>
      </w:r>
    </w:p>
    <w:p>
      <w:pPr>
        <w:pStyle w:val="FirstParagraph"/>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其实测磁矩与唯自旋公式极为精确地严格吻合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恰好极其逼近自旋成对能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94"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993571"/>
            <wp:effectExtent b="0" l="0" r="0" t="0"/>
            <wp:docPr descr="" title="" id="74" name="Picture"/>
            <a:graphic>
              <a:graphicData uri="http://schemas.openxmlformats.org/drawingml/2006/picture">
                <pic:pic>
                  <pic:nvPicPr>
                    <pic:cNvPr descr="Re2Cl8_3D_structure.png" id="75" name="Picture"/>
                    <pic:cNvPicPr>
                      <a:picLocks noChangeArrowheads="1" noChangeAspect="1"/>
                    </pic:cNvPicPr>
                  </pic:nvPicPr>
                  <pic:blipFill>
                    <a:blip r:embed="rId73"/>
                    <a:stretch>
                      <a:fillRect/>
                    </a:stretch>
                  </pic:blipFill>
                  <pic:spPr bwMode="auto">
                    <a:xfrm>
                      <a:off x="0" y="0"/>
                      <a:ext cx="2667000" cy="29935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8-17：</w:t>
      </w:r>
      <w:r>
        <w:rPr>
          <w:rFonts w:hint="eastAsia" w:ascii="Times New Roman" w:hAnsi="Times New Roman" w:eastAsia="FangSong" w:cs="Times New Roman"/>
          <w:b w:val="0"/>
          <w:i w:val="0"/>
          <w:sz w:val="21"/>
        </w:rPr>
        <w:t>重金属双核八氯阴离子立体构型</w:t>
      </w:r>
    </w:p>
    <w:p>
      <w:pPr>
        <w:pStyle w:val="FirstParagraph"/>
        <w:spacing w:before="160" w:after="80"/>
        <w:jc w:val="center"/>
      </w:pPr>
      <w:r>
        <w:rPr>
          <w:rFonts w:ascii="Times New Roman" w:hAnsi="Times New Roman" w:eastAsia="Times New Roman" w:cs="Times New Roman"/>
        </w:rPr>
        <w:drawing>
          <wp:inline>
            <wp:extent cx="2667000" cy="3556000"/>
            <wp:effectExtent b="0" l="0" r="0" t="0"/>
            <wp:docPr descr="" title="" id="77" name="Picture"/>
            <a:graphic>
              <a:graphicData uri="http://schemas.openxmlformats.org/drawingml/2006/picture">
                <pic:pic>
                  <pic:nvPicPr>
                    <pic:cNvPr descr="23dda00dde38b339b9ab88f2811a0d5964b48be34da772322950fcbbada82a6e.jpg" id="78" name="Picture"/>
                    <pic:cNvPicPr>
                      <a:picLocks noChangeArrowheads="1" noChangeAspect="1"/>
                    </pic:cNvPicPr>
                  </pic:nvPicPr>
                  <pic:blipFill>
                    <a:blip r:embed="rId76"/>
                    <a:stretch>
                      <a:fillRect/>
                    </a:stretch>
                  </pic:blipFill>
                  <pic:spPr bwMode="auto">
                    <a:xfrm>
                      <a:off x="0" y="0"/>
                      <a:ext cx="2667000" cy="3556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8-18：</w:t>
      </w:r>
      <w:r>
        <w:rPr>
          <w:rFonts w:hint="eastAsia" w:ascii="Times New Roman" w:hAnsi="Times New Roman" w:eastAsia="FangSong" w:cs="Times New Roman"/>
          <w:b w:val="0"/>
          <w:i w:val="0"/>
          <w:sz w:val="21"/>
        </w:rPr>
        <w:t>双核重金属四重键分子轨道能级</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3965"/>
            <wp:effectExtent b="0" l="0" r="0" t="0"/>
            <wp:docPr descr="" title="" id="80" name="Picture"/>
            <a:graphic>
              <a:graphicData uri="http://schemas.openxmlformats.org/drawingml/2006/picture">
                <pic:pic>
                  <pic:nvPicPr>
                    <pic:cNvPr descr="df788bc335457cb26645a395abbace04eff5cb7b53dffd298509b87cf6cb5a2b.jpg" id="81" name="Picture"/>
                    <pic:cNvPicPr>
                      <a:picLocks noChangeArrowheads="1" noChangeAspect="1"/>
                    </pic:cNvPicPr>
                  </pic:nvPicPr>
                  <pic:blipFill>
                    <a:blip r:embed="rId79"/>
                    <a:stretch>
                      <a:fillRect/>
                    </a:stretch>
                  </pic:blipFill>
                  <pic:spPr bwMode="auto">
                    <a:xfrm>
                      <a:off x="0" y="0"/>
                      <a:ext cx="2667000" cy="27239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8-19：</w:t>
      </w:r>
      <w:r>
        <w:rPr>
          <w:rFonts w:hint="eastAsia" w:ascii="Times New Roman" w:hAnsi="Times New Roman" w:eastAsia="FangSong" w:cs="Times New Roman"/>
          <w:b w:val="0"/>
          <w:i w:val="0"/>
          <w:sz w:val="21"/>
        </w:rPr>
        <w:t>四重键骨架与配体轨道定性重叠</w:t>
      </w:r>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83" name="Picture"/>
            <a:graphic>
              <a:graphicData uri="http://schemas.openxmlformats.org/drawingml/2006/picture">
                <pic:pic>
                  <pic:nvPicPr>
                    <pic:cNvPr descr="Delta_bond_formation_2D.png" id="84" name="Picture"/>
                    <pic:cNvPicPr>
                      <a:picLocks noChangeArrowheads="1" noChangeAspect="1"/>
                    </pic:cNvPicPr>
                  </pic:nvPicPr>
                  <pic:blipFill>
                    <a:blip r:embed="rId82"/>
                    <a:stretch>
                      <a:fillRect/>
                    </a:stretch>
                  </pic:blipFill>
                  <pic:spPr bwMode="auto">
                    <a:xfrm>
                      <a:off x="0" y="0"/>
                      <a:ext cx="2667000" cy="727363"/>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8-20：</w:t>
      </w:r>
      <w:r>
        <w:rPr>
          <w:rFonts w:hint="eastAsia" w:ascii="Times New Roman" w:hAnsi="Times New Roman" w:eastAsia="FangSong" w:cs="Times New Roman"/>
          <w:b w:val="0"/>
          <w:i w:val="0"/>
          <w:sz w:val="21"/>
        </w:rPr>
        <w:t>面对面重叠形成德尔塔键机制</w:t>
      </w:r>
    </w:p>
    <w:p>
      <w:pPr>
        <w:pStyle w:val="FirstParagraph"/>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3333750"/>
            <wp:effectExtent b="0" l="0" r="0" t="0"/>
            <wp:docPr descr="" title="" id="86" name="Picture"/>
            <a:graphic>
              <a:graphicData uri="http://schemas.openxmlformats.org/drawingml/2006/picture">
                <pic:pic>
                  <pic:nvPicPr>
                    <pic:cNvPr descr="9b56523562b13d499e2e7f5bad1c1ff9a3569f6cf609db57a8cb2114815a0c67.jpg" id="87" name="Picture"/>
                    <pic:cNvPicPr>
                      <a:picLocks noChangeArrowheads="1" noChangeAspect="1"/>
                    </pic:cNvPicPr>
                  </pic:nvPicPr>
                  <pic:blipFill>
                    <a:blip r:embed="rId85"/>
                    <a:stretch>
                      <a:fillRect/>
                    </a:stretch>
                  </pic:blipFill>
                  <pic:spPr bwMode="auto">
                    <a:xfrm>
                      <a:off x="0" y="0"/>
                      <a:ext cx="2667000" cy="333375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8-21：</w:t>
      </w:r>
      <w:r>
        <w:rPr>
          <w:rFonts w:hint="eastAsia" w:ascii="Times New Roman" w:hAnsi="Times New Roman" w:eastAsia="FangSong" w:cs="Times New Roman"/>
          <w:b w:val="0"/>
          <w:i w:val="0"/>
          <w:sz w:val="21"/>
        </w:rPr>
        <w:t>构象旋转对德尔塔键重叠积分影响</w:t>
      </w:r>
    </w:p>
    <w:p>
      <w:pPr>
        <w:pStyle w:val="FirstParagraph"/>
        <w:spacing w:before="160" w:after="80"/>
        <w:jc w:val="center"/>
      </w:pPr>
      <w:r>
        <w:rPr>
          <w:rFonts w:ascii="Times New Roman" w:hAnsi="Times New Roman" w:eastAsia="Times New Roman" w:cs="Times New Roman"/>
        </w:rPr>
        <w:drawing>
          <wp:inline>
            <wp:extent cx="2667000" cy="2348321"/>
            <wp:effectExtent b="0" l="0" r="0" t="0"/>
            <wp:docPr descr="" title="" id="89" name="Picture"/>
            <a:graphic>
              <a:graphicData uri="http://schemas.openxmlformats.org/drawingml/2006/picture">
                <pic:pic>
                  <pic:nvPicPr>
                    <pic:cNvPr descr="Mo2_delta_bond_3D.png" id="90" name="Picture"/>
                    <pic:cNvPicPr>
                      <a:picLocks noChangeArrowheads="1" noChangeAspect="1"/>
                    </pic:cNvPicPr>
                  </pic:nvPicPr>
                  <pic:blipFill>
                    <a:blip r:embed="rId88"/>
                    <a:stretch>
                      <a:fillRect/>
                    </a:stretch>
                  </pic:blipFill>
                  <pic:spPr bwMode="auto">
                    <a:xfrm>
                      <a:off x="0" y="0"/>
                      <a:ext cx="2667000" cy="23483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8-22：</w:t>
      </w:r>
      <w:r>
        <w:rPr>
          <w:rFonts w:hint="eastAsia" w:ascii="Times New Roman" w:hAnsi="Times New Roman" w:eastAsia="FangSong" w:cs="Times New Roman"/>
          <w:b w:val="0"/>
          <w:i w:val="0"/>
          <w:sz w:val="21"/>
        </w:rPr>
        <w:t>双核钼多重键三维轨道分布模型</w:t>
      </w:r>
    </w:p>
    <w:p>
      <w:pPr>
        <w:pStyle w:val="FirstParagraph"/>
        <w:spacing w:before="160" w:after="80"/>
        <w:jc w:val="center"/>
      </w:pPr>
      <w:r>
        <w:rPr>
          <w:rFonts w:ascii="Times New Roman" w:hAnsi="Times New Roman" w:eastAsia="Times New Roman" w:cs="Times New Roman"/>
        </w:rPr>
        <w:drawing>
          <wp:inline>
            <wp:extent cx="2667000" cy="2308898"/>
            <wp:effectExtent b="0" l="0" r="0" t="0"/>
            <wp:docPr descr="" title="" id="92" name="Picture"/>
            <a:graphic>
              <a:graphicData uri="http://schemas.openxmlformats.org/drawingml/2006/picture">
                <pic:pic>
                  <pic:nvPicPr>
                    <pic:cNvPr descr="3b9af84fb5638c015b4ee6e95d855a5f2dc59589bf6f797983ea9deefe723dad.png" id="93" name="Picture"/>
                    <pic:cNvPicPr>
                      <a:picLocks noChangeArrowheads="1" noChangeAspect="1"/>
                    </pic:cNvPicPr>
                  </pic:nvPicPr>
                  <pic:blipFill>
                    <a:blip r:embed="rId91"/>
                    <a:stretch>
                      <a:fillRect/>
                    </a:stretch>
                  </pic:blipFill>
                  <pic:spPr bwMode="auto">
                    <a:xfrm>
                      <a:off x="0" y="0"/>
                      <a:ext cx="2667000" cy="230889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8-23：</w:t>
      </w:r>
      <w:r>
        <w:rPr>
          <w:rFonts w:hint="eastAsia" w:ascii="Times New Roman" w:hAnsi="Times New Roman" w:eastAsia="FangSong" w:cs="Times New Roman"/>
          <w:b w:val="0"/>
          <w:i w:val="0"/>
          <w:sz w:val="21"/>
        </w:rPr>
        <w:t>德尔塔成键轨道空间波函数截面</w:t>
      </w:r>
    </w:p>
    <w:p>
      <w:pPr>
        <w:pStyle w:val="FirstParagraph"/>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键在空间立体化学上表现出对旋转角度极其敏感的角依赖性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离子宁愿克服上下两组带负电的氯离子之间极为强烈的微观静电排斥与空间立体阻碍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两个铬原子之间形成极其强固的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使得常温下该配合物表现出完全抗磁性的惊人特性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赛场高频失分命题陷阱清单"/>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赛场高频失分命题陷阱清单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易错陷阱编号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核心考点与命题外衣</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典型错误认知与失分根源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竞赛标准判定与物理本质</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8-1</w:t>
            </w:r>
          </w:p>
        </w:tc>
        <w:tc>
          <w:tcPr/>
          <w:p>
            <w:pPr>
              <w:pStyle w:val="Compact"/>
              <w:jc w:val="center"/>
            </w:pPr>
            <w:r>
              <w:rPr>
                <w:rFonts w:hint="eastAsia" w:ascii="Times New Roman" w:hAnsi="Times New Roman" w:eastAsia="FangSong" w:cs="Times New Roman"/>
              </w:rPr>
              <w:t xml:space="preserve">晶体场纯静电与共价配位场混淆</w:t>
            </w:r>
          </w:p>
        </w:tc>
        <w:tc>
          <w:tcPr/>
          <w:p>
            <w:pPr>
              <w:pStyle w:val="Compact"/>
              <w:jc w:val="center"/>
            </w:pPr>
            <w:r>
              <w:rPr>
                <w:rFonts w:hint="eastAsia" w:ascii="Times New Roman" w:hAnsi="Times New Roman" w:eastAsia="FangSong" w:cs="Times New Roman"/>
              </w:rPr>
              <w:t>误认为光谱化学序列中电荷越负的配体其分裂能必然越大</w:t>
            </w:r>
            <w:r>
              <w:rPr>
                <w:rFonts w:hint="eastAsia" w:ascii="Times New Roman" w:hAnsi="Times New Roman" w:eastAsia="Times New Roman" w:cs="Times New Roman"/>
              </w:rPr>
              <w:t>，</w:t>
            </w:r>
            <w:r>
              <w:rPr>
                <w:rFonts w:hint="eastAsia" w:ascii="Times New Roman" w:hAnsi="Times New Roman" w:eastAsia="FangSong" w:cs="Times New Roman"/>
              </w:rPr>
              <w:t>无法解释中性</w:t>
            </w:r>
            <w:r>
              <w:rPr>
                <w:rFonts w:ascii="Times New Roman" w:hAnsi="Times New Roman" w:eastAsia="Times New Roman" w:cs="Times New Roman"/>
              </w:rPr>
              <w:t xml:space="preserve"> CO </w:t>
            </w:r>
            <w:r>
              <w:rPr>
                <w:rFonts w:hint="eastAsia" w:ascii="Times New Roman" w:hAnsi="Times New Roman" w:eastAsia="FangSong" w:cs="Times New Roman"/>
              </w:rPr>
              <w:t>与带电卤离子的倒置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必须牢记分裂能本质是前线轨道差</w:t>
            </w:r>
            <w:r>
              <w:rPr>
                <w:rFonts w:hint="eastAsia" w:ascii="Times New Roman" w:hAnsi="Times New Roman" w:eastAsia="Times New Roman" w:cs="Times New Roman"/>
              </w:rPr>
              <w:t>；</w:t>
            </w:r>
            <w:r>
              <w:rPr>
                <w:rFonts w:hint="eastAsia" w:ascii="Times New Roman" w:hAnsi="Times New Roman" w:eastAsia="FangSong" w:cs="Times New Roman"/>
              </w:rPr>
              <w:t>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供体抬升</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使场强减弱</w:t>
            </w:r>
            <w:r>
              <w:rPr>
                <w:rFonts w:hint="eastAsia" w:ascii="Times New Roman" w:hAnsi="Times New Roman" w:eastAsia="Times New Roman" w:cs="Times New Roman"/>
              </w:rPr>
              <w:t>，</w:t>
            </w:r>
            <w:r>
              <w:rPr>
                <w:rFonts w:hint="eastAsia" w:ascii="Times New Roman" w:hAnsi="Times New Roman" w:eastAsia="FangSong" w:cs="Times New Roman"/>
              </w:rPr>
              <w:t>而具有空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受体与金属反馈成键压低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使场强急剧增大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8-2</w:t>
            </w:r>
          </w:p>
        </w:tc>
        <w:tc>
          <w:tcPr/>
          <w:p>
            <w:pPr>
              <w:pStyle w:val="Compact"/>
              <w:jc w:val="center"/>
            </w:pPr>
            <w:r>
              <w:rPr>
                <w:rFonts w:hint="eastAsia" w:ascii="Times New Roman" w:hAnsi="Times New Roman" w:eastAsia="FangSong" w:cs="Times New Roman"/>
              </w:rPr>
              <w:t xml:space="preserve">四面体配位场高低自旋误判</w:t>
            </w:r>
          </w:p>
        </w:tc>
        <w:tc>
          <w:tcPr/>
          <w:p>
            <w:pPr>
              <w:pStyle w:val="Compact"/>
              <w:jc w:val="center"/>
            </w:pPr>
            <w:r>
              <w:rPr>
                <w:rFonts w:hint="eastAsia" w:ascii="Times New Roman" w:hAnsi="Times New Roman" w:eastAsia="FangSong" w:cs="Times New Roman"/>
              </w:rPr>
              <w:t>盲目背诵八面体场强场配体规则</w:t>
            </w:r>
            <w:r>
              <w:rPr>
                <w:rFonts w:hint="eastAsia" w:ascii="Times New Roman" w:hAnsi="Times New Roman" w:eastAsia="Times New Roman" w:cs="Times New Roman"/>
              </w:rPr>
              <w:t>，</w:t>
            </w:r>
            <w:r>
              <w:rPr>
                <w:rFonts w:hint="eastAsia" w:ascii="Times New Roman" w:hAnsi="Times New Roman" w:eastAsia="FangSong" w:cs="Times New Roman"/>
              </w:rPr>
              <w:t>误以为强场配体与金属形成四面体配合物时同样可出现低自旋态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四面体场分裂能先天具有几何约束</w:t>
            </w:r>
            <w:r>
              <w:rPr>
                <w:rFonts w:ascii="Times New Roman" w:hAnsi="Times New Roman" w:eastAsia="Times New Roman" w:cs="Times New Roman"/>
              </w:rPr>
              <w:t xml:space="preserve"> </w:t>
            </w: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数值极小</w:t>
            </w:r>
            <w:r>
              <w:rPr>
                <w:rFonts w:hint="eastAsia" w:ascii="Times New Roman" w:hAnsi="Times New Roman" w:eastAsia="Times New Roman" w:cs="Times New Roman"/>
              </w:rPr>
              <w:t>（</w:t>
            </w:r>
            <w:r>
              <w:rPr>
                <w:rFonts w:hint="eastAsia" w:ascii="Times New Roman" w:hAnsi="Times New Roman" w:eastAsia="FangSong" w:cs="Times New Roman"/>
              </w:rPr>
              <w:t>几乎恒小于成对能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绝大多数四面体配合物基态几乎全部严格为高自旋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8-3</w:t>
            </w:r>
          </w:p>
        </w:tc>
        <w:tc>
          <w:tcPr/>
          <w:p>
            <w:pPr>
              <w:pStyle w:val="Compact"/>
              <w:jc w:val="center"/>
            </w:pPr>
            <w:r>
              <w:rPr>
                <w:rFonts w:hint="eastAsia" w:ascii="Times New Roman" w:hAnsi="Times New Roman" w:eastAsia="FangSong" w:cs="Times New Roman"/>
              </w:rPr>
              <w:t xml:space="preserve">光谱项微观状态数机械排列</w:t>
            </w:r>
          </w:p>
        </w:tc>
        <w:tc>
          <w:tcPr/>
          <w:p>
            <w:pPr>
              <w:pStyle w:val="Compact"/>
              <w:jc w:val="center"/>
            </w:pPr>
            <w:r>
              <w:rPr>
                <w:rFonts w:hint="eastAsia" w:ascii="Times New Roman" w:hAnsi="Times New Roman" w:eastAsia="FangSong" w:cs="Times New Roman"/>
              </w:rPr>
              <w:t>计算等价电子组态微观状态数时直接将单电子自旋取向相乘</w:t>
            </w:r>
            <w:r>
              <w:rPr>
                <w:rFonts w:hint="eastAsia" w:ascii="Times New Roman" w:hAnsi="Times New Roman" w:eastAsia="Times New Roman" w:cs="Times New Roman"/>
              </w:rPr>
              <w:t>，</w:t>
            </w:r>
            <w:r>
              <w:rPr>
                <w:rFonts w:hint="eastAsia" w:ascii="Times New Roman" w:hAnsi="Times New Roman" w:eastAsia="FangSong" w:cs="Times New Roman"/>
              </w:rPr>
              <w:t>忽视泡利不相容原理导致状态数膨胀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等价电子必须遵循费米子反交称组合数</w:t>
            </w:r>
            <w:r>
              <w:rPr>
                <w:rFonts w:ascii="Times New Roman" w:hAnsi="Times New Roman" w:eastAsia="Times New Roman" w:cs="Times New Roman"/>
              </w:rPr>
              <w:t xml:space="preserve"> </w:t>
            </w:r>
            <m:oMath>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严格利用微观状态网格表逐层剥离多电子光谱项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选律与荷移显色机理倒置</w:t>
            </w:r>
          </w:p>
        </w:tc>
        <w:tc>
          <w:tcPr/>
          <w:p>
            <w:pPr>
              <w:pStyle w:val="Compact"/>
              <w:jc w:val="center"/>
            </w:pPr>
            <w:r>
              <w:rPr>
                <w:rFonts w:hint="eastAsia" w:ascii="Times New Roman" w:hAnsi="Times New Roman" w:eastAsia="FangSong" w:cs="Times New Roman"/>
              </w:rPr>
              <w:t>看到深色高锰酸根或重铬酸根溶液时</w:t>
            </w:r>
            <w:r>
              <w:rPr>
                <w:rFonts w:hint="eastAsia" w:ascii="Times New Roman" w:hAnsi="Times New Roman" w:eastAsia="Times New Roman" w:cs="Times New Roman"/>
              </w:rPr>
              <w:t>，</w:t>
            </w:r>
            <w:r>
              <w:rPr>
                <w:rFonts w:hint="eastAsia" w:ascii="Times New Roman" w:hAnsi="Times New Roman" w:eastAsia="FangSong" w:cs="Times New Roman"/>
              </w:rPr>
              <w:t>习惯性机械套用</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作为显色解释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高价金属具有</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构型根本无</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其深浓颜色源于配体向金属的荷移跃迁</w:t>
            </w:r>
            <w:r>
              <w:rPr>
                <w:rFonts w:hint="eastAsia" w:ascii="Times New Roman" w:hAnsi="Times New Roman" w:eastAsia="Times New Roman" w:cs="Times New Roman"/>
              </w:rPr>
              <w:t>（LMCT），</w:t>
            </w:r>
            <w:r>
              <w:rPr>
                <w:rFonts w:hint="eastAsia" w:ascii="Times New Roman" w:hAnsi="Times New Roman" w:eastAsia="FangSong" w:cs="Times New Roman"/>
              </w:rPr>
              <w:t>不受</w:t>
            </w:r>
            <w:r>
              <w:rPr>
                <w:rFonts w:ascii="Times New Roman" w:hAnsi="Times New Roman" w:eastAsia="Times New Roman" w:cs="Times New Roman"/>
              </w:rPr>
              <w:t xml:space="preserve"> Laporte </w:t>
            </w:r>
            <w:r>
              <w:rPr>
                <w:rFonts w:hint="eastAsia" w:ascii="Times New Roman" w:hAnsi="Times New Roman" w:eastAsia="FangSong" w:cs="Times New Roman"/>
              </w:rPr>
              <w:t>宇称与自旋禁阻限制</w:t>
            </w:r>
            <w:r>
              <w:rPr>
                <w:rFonts w:hint="eastAsia" w:ascii="Times New Roman" w:hAnsi="Times New Roman" w:eastAsia="Times New Roman" w:cs="Times New Roman"/>
              </w:rPr>
              <w:t>，</w:t>
            </w:r>
            <w:r>
              <w:rPr>
                <w:rFonts w:hint="eastAsia" w:ascii="Times New Roman" w:hAnsi="Times New Roman" w:eastAsia="FangSong" w:cs="Times New Roman"/>
              </w:rPr>
              <w:t>吸光系数极大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8-5</w:t>
            </w:r>
          </w:p>
        </w:tc>
        <w:tc>
          <w:tcPr/>
          <w:p>
            <w:pPr>
              <w:pStyle w:val="Compact"/>
              <w:jc w:val="center"/>
            </w:pPr>
            <w:r>
              <w:rPr>
                <w:rFonts w:ascii="Times New Roman" w:hAnsi="Times New Roman" w:eastAsia="Times New Roman" w:cs="Times New Roman"/>
              </w:rPr>
              <w:t xml:space="preserve">Tanabe-Sugano </w:t>
            </w:r>
            <w:r>
              <w:rPr>
                <w:rFonts w:hint="eastAsia" w:ascii="Times New Roman" w:hAnsi="Times New Roman" w:eastAsia="FangSong" w:cs="Times New Roman"/>
              </w:rPr>
              <w:t xml:space="preserve">图基线参考系混淆</w:t>
            </w:r>
          </w:p>
        </w:tc>
        <w:tc>
          <w:tcPr/>
          <w:p>
            <w:pPr>
              <w:pStyle w:val="Compact"/>
              <w:jc w:val="center"/>
            </w:pPr>
            <w:r>
              <w:rPr>
                <w:rFonts w:hint="eastAsia" w:ascii="Times New Roman" w:hAnsi="Times New Roman" w:eastAsia="FangSong" w:cs="Times New Roman"/>
              </w:rPr>
              <w:t xml:space="preserve">误以为</w:t>
            </w:r>
            <w:r>
              <w:rPr>
                <w:rFonts w:ascii="Times New Roman" w:hAnsi="Times New Roman" w:eastAsia="Times New Roman" w:cs="Times New Roman"/>
              </w:rPr>
              <w:t xml:space="preserve"> T-S </w:t>
            </w:r>
            <w:r>
              <w:rPr>
                <w:rFonts w:hint="eastAsia" w:ascii="Times New Roman" w:hAnsi="Times New Roman" w:eastAsia="FangSong" w:cs="Times New Roman"/>
              </w:rPr>
              <w:t>图中任何向上倾斜的曲线都代表该状态随配位场强增大在绝对能量上被显著推高</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T-S </w:t>
            </w:r>
            <w:r>
              <w:rPr>
                <w:rFonts w:hint="eastAsia" w:ascii="Times New Roman" w:hAnsi="Times New Roman" w:eastAsia="FangSong" w:cs="Times New Roman"/>
              </w:rPr>
              <w:t>图横基线被永久归一化为体系的热力学绝对基态</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曲线的纵坐标仅代表激发态与基态之间的激发能差</w:t>
            </w:r>
            <w:r>
              <w:rPr>
                <w:rFonts w:hint="eastAsia" w:ascii="Times New Roman" w:hAnsi="Times New Roman" w:eastAsia="Times New Roman" w:cs="Times New Roman"/>
              </w:rPr>
              <w:t>，</w:t>
            </w:r>
            <w:r>
              <w:rPr>
                <w:rFonts w:hint="eastAsia" w:ascii="Times New Roman" w:hAnsi="Times New Roman" w:eastAsia="FangSong" w:cs="Times New Roman"/>
              </w:rPr>
              <w:t>而非状态的绝对势能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8-6</w:t>
            </w:r>
          </w:p>
        </w:tc>
        <w:tc>
          <w:tcPr/>
          <w:p>
            <w:pPr>
              <w:pStyle w:val="Compact"/>
              <w:jc w:val="center"/>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效应判据混淆</w:t>
            </w:r>
          </w:p>
        </w:tc>
        <w:tc>
          <w:tcPr/>
          <w:p>
            <w:pPr>
              <w:pStyle w:val="Compact"/>
              <w:jc w:val="center"/>
            </w:pPr>
            <w:r>
              <w:rPr>
                <w:rFonts w:hint="eastAsia" w:ascii="Times New Roman" w:hAnsi="Times New Roman" w:eastAsia="FangSong" w:cs="Times New Roman"/>
              </w:rPr>
              <w:t xml:space="preserve">只要在八面体配合物中看到有未成对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r>
                <m:rPr>
                  <m:sty m:val="p"/>
                </m:rPr>
                <m:t>,</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就一律盲目答出</w:t>
            </w:r>
            <w:r>
              <w:rPr>
                <w:rFonts w:hint="eastAsia" w:ascii="Times New Roman" w:hAnsi="Times New Roman" w:eastAsia="Times New Roman" w:cs="Times New Roman"/>
              </w:rPr>
              <w:t>“</w:t>
            </w:r>
            <w:r>
              <w:rPr>
                <w:rFonts w:hint="eastAsia" w:ascii="Times New Roman" w:hAnsi="Times New Roman" w:eastAsia="FangSong" w:cs="Times New Roman"/>
              </w:rPr>
              <w:t>分子发生显著几何键长拉伸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只有当不对称简并电子占据具有强方向性的反键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才发生强一阶畸变</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轨道的不对称仅产生极微弱畸变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8-7</w:t>
            </w:r>
          </w:p>
        </w:tc>
        <w:tc>
          <w:tcPr/>
          <w:p>
            <w:pPr>
              <w:pStyle w:val="Compact"/>
              <w:jc w:val="center"/>
            </w:pPr>
            <w:r>
              <w:rPr>
                <w:rFonts w:hint="eastAsia" w:ascii="Times New Roman" w:hAnsi="Times New Roman" w:eastAsia="FangSong" w:cs="Times New Roman"/>
              </w:rPr>
              <w:t xml:space="preserve">反位影响与动力学反位效应混为一谈</w:t>
            </w:r>
          </w:p>
        </w:tc>
        <w:tc>
          <w:tcPr/>
          <w:p>
            <w:pPr>
              <w:pStyle w:val="Compact"/>
              <w:jc w:val="center"/>
            </w:pPr>
            <w:r>
              <w:rPr>
                <w:rFonts w:hint="eastAsia" w:ascii="Times New Roman" w:hAnsi="Times New Roman" w:eastAsia="FangSong" w:cs="Times New Roman"/>
              </w:rPr>
              <w:t>在论述平面四方取代产物立体控制时</w:t>
            </w:r>
            <w:r>
              <w:rPr>
                <w:rFonts w:hint="eastAsia" w:ascii="Times New Roman" w:hAnsi="Times New Roman" w:eastAsia="Times New Roman" w:cs="Times New Roman"/>
              </w:rPr>
              <w:t>，</w:t>
            </w:r>
            <w:r>
              <w:rPr>
                <w:rFonts w:hint="eastAsia" w:ascii="Times New Roman" w:hAnsi="Times New Roman" w:eastAsia="FangSong" w:cs="Times New Roman"/>
              </w:rPr>
              <w:t>仅凭基态键长长短来解释所有反应速率差异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反位影响是基态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供体削弱对位成键的热力学性质</w:t>
            </w:r>
            <w:r>
              <w:rPr>
                <w:rFonts w:hint="eastAsia" w:ascii="Times New Roman" w:hAnsi="Times New Roman" w:eastAsia="Times New Roman" w:cs="Times New Roman"/>
              </w:rPr>
              <w:t>，</w:t>
            </w:r>
            <w:r>
              <w:rPr>
                <w:rFonts w:hint="eastAsia" w:ascii="Times New Roman" w:hAnsi="Times New Roman" w:eastAsia="FangSong" w:cs="Times New Roman"/>
              </w:rPr>
              <w:t>而反位效应是由五配位三角双锥过渡态的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反馈电子离域所控制的动力学活化能效应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陷阱</w:t>
            </w:r>
            <w:r>
              <w:rPr>
                <w:rFonts w:ascii="Times New Roman" w:hAnsi="Times New Roman" w:eastAsia="Times New Roman" w:cs="Times New Roman"/>
              </w:rPr>
              <w:t xml:space="preserve"> 8-8</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金属四重键构象判据逆向套用</w:t>
            </w:r>
          </w:p>
        </w:tc>
        <w:tc>
          <w:tcPr/>
          <w:p>
            <w:pPr>
              <w:pStyle w:val="Compact"/>
              <w:jc w:val="center"/>
            </w:pPr>
            <w:r>
              <w:rPr>
                <w:rFonts w:hint="eastAsia" w:ascii="Times New Roman" w:hAnsi="Times New Roman" w:eastAsia="FangSong" w:cs="Times New Roman"/>
              </w:rPr>
              <w:t>看到空间阻碍较大的双核八氯体系</w:t>
            </w:r>
            <w:r>
              <w:rPr>
                <w:rFonts w:hint="eastAsia" w:ascii="Times New Roman" w:hAnsi="Times New Roman" w:eastAsia="Times New Roman" w:cs="Times New Roman"/>
              </w:rPr>
              <w:t>，</w:t>
            </w:r>
            <w:r>
              <w:rPr>
                <w:rFonts w:hint="eastAsia" w:ascii="Times New Roman" w:hAnsi="Times New Roman" w:eastAsia="FangSong" w:cs="Times New Roman"/>
              </w:rPr>
              <w:t>死套</w:t>
            </w:r>
            <w:r>
              <w:rPr>
                <w:rFonts w:hint="eastAsia" w:ascii="Times New Roman" w:hAnsi="Times New Roman" w:eastAsia="Times New Roman" w:cs="Times New Roman"/>
              </w:rPr>
              <w:t>“</w:t>
            </w:r>
            <w:r>
              <w:rPr>
                <w:rFonts w:hint="eastAsia" w:ascii="Times New Roman" w:hAnsi="Times New Roman" w:eastAsia="FangSong" w:cs="Times New Roman"/>
              </w:rPr>
              <w:t>分子为减小立体排斥必须采取交错构象</w:t>
            </w:r>
            <w:r>
              <w:rPr>
                <w:rFonts w:hint="eastAsia" w:ascii="Times New Roman" w:hAnsi="Times New Roman" w:eastAsia="Times New Roman" w:cs="Times New Roman"/>
              </w:rPr>
              <w:t>”</w:t>
            </w:r>
            <w:r>
              <w:rPr>
                <w:rFonts w:hint="eastAsia" w:ascii="Times New Roman" w:hAnsi="Times New Roman" w:eastAsia="FangSong" w:cs="Times New Roman"/>
              </w:rPr>
              <w:t>的初级通识</w:t>
            </w:r>
            <w:r>
              <w:rPr>
                <w:rFonts w:hint="eastAsia" w:ascii="Times New Roman" w:hAnsi="Times New Roman" w:eastAsia="Times New Roman" w:cs="Times New Roman"/>
              </w:rPr>
              <w:t>。</w:t>
            </w:r>
          </w:p>
        </w:tc>
        <w:tc>
          <w:tcPr/>
          <w:p>
            <w:pPr>
              <w:pStyle w:val="Compact"/>
              <w:jc w:val="center"/>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键重叠积分正比于</w:t>
            </w:r>
            <w:r>
              <w:rPr>
                <w:rFonts w:ascii="Times New Roman" w:hAnsi="Times New Roman" w:eastAsia="Times New Roman" w:cs="Times New Roman"/>
              </w:rPr>
              <w:t xml:space="preserve"> </w:t>
            </w:r>
            <m:oMath>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只有在完全重叠构象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时才能获得最大成键稳定化能</w:t>
            </w:r>
            <w:r>
              <w:rPr>
                <w:rFonts w:hint="eastAsia" w:ascii="Times New Roman" w:hAnsi="Times New Roman" w:eastAsia="Times New Roman" w:cs="Times New Roman"/>
              </w:rPr>
              <w:t>；</w:t>
            </w:r>
            <w:r>
              <w:rPr>
                <w:rFonts w:hint="eastAsia" w:ascii="Times New Roman" w:hAnsi="Times New Roman" w:eastAsia="FangSong" w:cs="Times New Roman"/>
              </w:rPr>
              <w:t>成键驱动力压倒了静电斥力</w:t>
            </w:r>
            <w:r>
              <w:rPr>
                <w:rFonts w:hint="eastAsia" w:ascii="Times New Roman" w:hAnsi="Times New Roman" w:eastAsia="Times New Roman" w:cs="Times New Roman"/>
              </w:rPr>
              <w:t>，</w:t>
            </w:r>
            <w:r>
              <w:rPr>
                <w:rFonts w:hint="eastAsia" w:ascii="Times New Roman" w:hAnsi="Times New Roman" w:eastAsia="FangSong" w:cs="Times New Roman"/>
              </w:rPr>
              <w:t>使体系坚决维持重叠构象</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跃迁赋予了许多无机化合物以极其鲜艳深浓的颜色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配合物具有极其刚硬完美的正八面体几何结构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深入解释这一惊人差异的微观动力学机制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与过渡金属的配合物在仿生固氮领域具有极其重要的战略意义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能够断崖式降低取代反应的活化自由能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从而使反应速率暴增成千上万倍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91" Type="http://schemas.openxmlformats.org/officeDocument/2006/relationships/image" Target="media/rId91.png"/><Relationship Id="rId55" Type="http://schemas.openxmlformats.org/officeDocument/2006/relationships/image" Target="media/rId55.jpg"/><Relationship Id="rId31" Type="http://schemas.openxmlformats.org/officeDocument/2006/relationships/image" Target="media/rId31.png"/><Relationship Id="rId62" Type="http://schemas.openxmlformats.org/officeDocument/2006/relationships/image" Target="media/rId62.jpg"/><Relationship Id="rId65" Type="http://schemas.openxmlformats.org/officeDocument/2006/relationships/image" Target="media/rId65.jpg"/><Relationship Id="rId49" Type="http://schemas.openxmlformats.org/officeDocument/2006/relationships/image" Target="media/rId49.png"/><Relationship Id="rId36" Type="http://schemas.openxmlformats.org/officeDocument/2006/relationships/image" Target="media/rId36.jpg"/><Relationship Id="rId10" Type="http://schemas.openxmlformats.org/officeDocument/2006/relationships/image" Target="media/rId10.png"/><Relationship Id="rId28" Type="http://schemas.openxmlformats.org/officeDocument/2006/relationships/image" Target="media/rId28.png"/><Relationship Id="rId52" Type="http://schemas.openxmlformats.org/officeDocument/2006/relationships/image" Target="media/rId52.jpg"/><Relationship Id="rId85" Type="http://schemas.openxmlformats.org/officeDocument/2006/relationships/image" Target="media/rId85.jpg"/><Relationship Id="rId45" Type="http://schemas.openxmlformats.org/officeDocument/2006/relationships/image" Target="media/rId45.jpg"/><Relationship Id="rId82" Type="http://schemas.openxmlformats.org/officeDocument/2006/relationships/image" Target="media/rId82.png"/><Relationship Id="rId88" Type="http://schemas.openxmlformats.org/officeDocument/2006/relationships/image" Target="media/rId88.png"/><Relationship Id="rId73" Type="http://schemas.openxmlformats.org/officeDocument/2006/relationships/image" Target="media/rId73.png"/><Relationship Id="rId25" Type="http://schemas.openxmlformats.org/officeDocument/2006/relationships/image" Target="media/rId25.png"/><Relationship Id="rId59" Type="http://schemas.openxmlformats.org/officeDocument/2006/relationships/image" Target="media/rId59.jpg"/><Relationship Id="rId16" Type="http://schemas.openxmlformats.org/officeDocument/2006/relationships/image" Target="media/rId16.png"/><Relationship Id="rId69" Type="http://schemas.openxmlformats.org/officeDocument/2006/relationships/image" Target="media/rId69.jpg"/><Relationship Id="rId79" Type="http://schemas.openxmlformats.org/officeDocument/2006/relationships/image" Target="media/rId79.jpg"/><Relationship Id="rId13" Type="http://schemas.openxmlformats.org/officeDocument/2006/relationships/image" Target="media/rId13.png"/><Relationship Id="rId42" Type="http://schemas.openxmlformats.org/officeDocument/2006/relationships/image" Target="media/rId42.jpg"/><Relationship Id="rId20" Type="http://schemas.openxmlformats.org/officeDocument/2006/relationships/image" Target="media/rId20.pn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2026-09-29T03:15:18Z</dcterms:created>
  <dcterms:modified xsi:type="dcterms:W3CDTF">2026-09-29T03:15:18Z</dcterms:modified>
</cp:coreProperties>
</file>

<file path=docProps/custom.xml><?xml version="1.0" encoding="utf-8"?>
<Properties xmlns="http://schemas.openxmlformats.org/officeDocument/2006/custom-properties" xmlns:vt="http://schemas.openxmlformats.org/officeDocument/2006/docPropsVTypes"/>
</file>