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初赛模拟卷-x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p>
    <w:bookmarkStart w:id="24"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End w:id="19"/>
    <w:bookmarkStart w:id="20" w:name="第-2-题13-分奇妙的晶体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分）奇妙的晶体结构</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End w:id="20"/>
    <w:bookmarkStart w:id="21" w:name="第-3-题13-分过渡金属硼化物二硼化钛"/>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分）过渡金属硼化物——二硼化钛</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End w:id="21"/>
    <w:bookmarkStart w:id="22"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End w:id="22"/>
    <w:bookmarkStart w:id="23" w:name="第-5-题13-分核反应堆中的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分）核反应堆中的氧化物</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w:t>
      </w:r>
    </w:p>
    <w:p>
      <w:pPr>
        <w:pStyle w:val="BodyText"/>
        <w:spacing w:before="0" w:after="0" w:line="276" w:lineRule="auto"/>
      </w:pPr>
      <w:r>
        <w:t xml:space="preserve">5-1 </w:t>
      </w:r>
      <w:r>
        <w:rPr>
          <w:rFonts w:ascii="Times New Roman" w:hAnsi="Times New Roman" w:cs="Times New Roman" w:eastAsia="SimSun"/>
        </w:rPr>
        <w:t xml:space="preserve">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08"/>
        <w:gridCol w:w="1208"/>
        <w:gridCol w:w="1208"/>
        <w:gridCol w:w="1208"/>
        <w:gridCol w:w="1638"/>
        <w:gridCol w:w="1638"/>
        <w:gridCol w:w="1644"/>
      </w:tblGrid>
      <w:tr>
        <w:trPr>
          <w:tblHeader w:val="on"/>
        </w:trPr>
        <w:tc>
          <w:tcPr>
            <w:tcW w:type="dxa" w:w="120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208"/>
          </w:tcPr>
          <w:tcPr/>
          <w:p>
            <w:pPr>
              <w:pStyle w:val="Compact"/>
              <w:jc w:val="center"/>
            </w:pPr>
            <w:r>
              <w:t xml:space="preserve">-520</w:t>
            </w:r>
          </w:p>
        </w:tc>
        <w:tc>
          <w:tcPr>
            <w:tcW w:type="dxa" w:w="1208"/>
          </w:tcPr>
          <w:tcPr/>
          <w:p>
            <w:pPr>
              <w:pStyle w:val="Compact"/>
              <w:jc w:val="center"/>
            </w:pPr>
            <w:r>
              <w:t xml:space="preserve">-420</w:t>
            </w:r>
          </w:p>
        </w:tc>
        <w:tc>
          <w:tcPr>
            <w:tcW w:type="dxa" w:w="1208"/>
          </w:tcPr>
          <w:tcPr/>
          <w:p>
            <w:pPr>
              <w:pStyle w:val="Compact"/>
              <w:jc w:val="center"/>
            </w:pPr>
            <w:r>
              <w:t xml:space="preserve">-350</w:t>
            </w:r>
          </w:p>
        </w:tc>
        <w:tc>
          <w:tcPr>
            <w:tcW w:type="dxa" w:w="1638"/>
          </w:tcPr>
          <w:tcPr/>
          <w:p>
            <w:pPr>
              <w:pStyle w:val="Compact"/>
              <w:jc w:val="center"/>
            </w:pPr>
            <w:r>
              <w:t xml:space="preserve">-335</w:t>
            </w:r>
          </w:p>
        </w:tc>
        <w:tc>
          <w:tcPr>
            <w:tcW w:type="dxa" w:w="1638"/>
          </w:tcPr>
          <w:tcPr/>
          <w:p>
            <w:pPr>
              <w:pStyle w:val="Compact"/>
              <w:jc w:val="center"/>
            </w:pPr>
            <w:r>
              <w:t xml:space="preserve">-320</w:t>
            </w:r>
          </w:p>
        </w:tc>
        <w:tc>
          <w:tcPr>
            <w:tcW w:type="dxa" w:w="1644"/>
          </w:tcPr>
          <w:tcPr/>
          <w:p>
            <w:pPr>
              <w:pStyle w:val="Compact"/>
              <w:jc w:val="center"/>
            </w:pPr>
            <w:r>
              <w:t xml:space="preserve">-310</w:t>
            </w:r>
          </w:p>
        </w:tc>
      </w:tr>
      <w:tr>
        <w:tc>
          <w:tcPr>
            <w:tcW w:type="dxa" w:w="1208"/>
          </w:tcPr>
          <w:tcPr/>
          <w:p>
            <w:pPr>
              <w:pStyle w:val="Compact"/>
              <w:jc w:val="center"/>
            </w:pPr>
            <w:r>
              <w:t xml:space="preserve">x</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w:rPr>
                  <w:rFonts w:ascii="Times New Roman" w:hAnsi="Times New Roman" w:cs="Times New Roman" w:eastAsia="SimSun"/>
                </w:rPr>
                <m:t>2.216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638"/>
          </w:tcPr>
          <w:tcPr/>
          <w:p>
            <w:pPr>
              <w:pStyle w:val="Compact"/>
              <w:jc w:val="center"/>
            </w:pPr>
            <w:r>
              <w:t xml:space="preserve">0.01005</w:t>
            </w:r>
          </w:p>
        </w:tc>
        <w:tc>
          <w:tcPr>
            <w:tcW w:type="dxa" w:w="1638"/>
          </w:tcPr>
          <w:tcPr/>
          <w:p>
            <w:pPr>
              <w:pStyle w:val="Compact"/>
              <w:jc w:val="center"/>
            </w:pPr>
            <w:r>
              <w:t xml:space="preserve">0.02915</w:t>
            </w:r>
          </w:p>
        </w:tc>
        <w:tc>
          <w:tcPr>
            <w:tcW w:type="dxa" w:w="1644"/>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End w:id="23"/>
    <w:bookmarkEnd w:id="24"/>
    <w:bookmarkStart w:id="30"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End w:id="25"/>
    <w:bookmarkStart w:id="26"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p>
      <w:pPr>
        <w:pStyle w:val="BodyText"/>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173"/>
        <w:gridCol w:w="2579"/>
      </w:tblGrid>
      <w:tr>
        <w:trPr>
          <w:tblHeader w:val="on"/>
        </w:trPr>
        <w:tc>
          <w:tcPr>
            <w:tcW w:type="dxa" w:w="7173"/>
          </w:tcPr>
          <w:tcPr/>
          <w:p>
            <w:pPr>
              <w:pStyle w:val="Compact"/>
              <w:jc w:val="center"/>
            </w:pPr>
            <w:r>
              <w:rPr>
                <w:rFonts w:ascii="Times New Roman" w:hAnsi="Times New Roman" w:cs="Times New Roman" w:eastAsia="SimSun"/>
              </w:rPr>
              <w:t xml:space="preserve">反应</w:t>
            </w:r>
          </w:p>
        </w:tc>
        <w:tc>
          <w:tcPr>
            <w:tcW w:type="dxa" w:w="2579"/>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7173"/>
          </w:tcPr>
          <w:tcPr/>
          <w:p>
            <w:pPr>
              <w:pStyle w:val="Compact"/>
              <w:jc w:val="center"/>
            </w:pPr>
            <w:r>
              <w:t xml:space="preserve">2Na(s) + 2H2O(l) → 2NaOH(aq) + H2(g)</w:t>
            </w:r>
          </w:p>
        </w:tc>
        <w:tc>
          <w:tcPr>
            <w:tcW w:type="dxa" w:w="2579"/>
          </w:tcPr>
          <w:tcPr/>
          <w:p>
            <w:pPr>
              <w:pStyle w:val="Compact"/>
              <w:jc w:val="center"/>
            </w:pPr>
            <w:r>
              <w:t xml:space="preserve">-369.24</w:t>
            </w:r>
          </w:p>
        </w:tc>
      </w:tr>
      <w:tr>
        <w:tc>
          <w:tcPr>
            <w:tcW w:type="dxa" w:w="7173"/>
          </w:tcPr>
          <w:tcPr/>
          <w:p>
            <w:pPr>
              <w:pStyle w:val="Compact"/>
              <w:jc w:val="center"/>
            </w:pPr>
            <w:r>
              <w:t xml:space="preserve">Cl2(g)+ H2(g) → 2HCl(aq)</w:t>
            </w:r>
          </w:p>
        </w:tc>
        <w:tc>
          <w:tcPr>
            <w:tcW w:type="dxa" w:w="2579"/>
          </w:tcPr>
          <w:tcPr/>
          <w:p>
            <w:pPr>
              <w:pStyle w:val="Compact"/>
              <w:jc w:val="center"/>
            </w:pPr>
            <w:r>
              <w:t xml:space="preserve">-334.48</w:t>
            </w:r>
          </w:p>
        </w:tc>
      </w:tr>
      <w:tr>
        <w:tc>
          <w:tcPr>
            <w:tcW w:type="dxa" w:w="7173"/>
          </w:tcPr>
          <w:tcPr/>
          <w:p>
            <w:pPr>
              <w:pStyle w:val="Compact"/>
              <w:jc w:val="center"/>
            </w:pPr>
            <w:r>
              <w:t xml:space="preserve">HCl(aq) + NaOH(aq) → NaCl(aq) + H2O(I)</w:t>
            </w:r>
          </w:p>
        </w:tc>
        <w:tc>
          <w:tcPr>
            <w:tcW w:type="dxa" w:w="2579"/>
          </w:tcPr>
          <w:tcPr/>
          <w:p>
            <w:pPr>
              <w:pStyle w:val="Compact"/>
              <w:jc w:val="center"/>
            </w:pPr>
            <w:r>
              <w:t xml:space="preserve">-55.72</w:t>
            </w:r>
          </w:p>
        </w:tc>
      </w:tr>
      <w:tr>
        <w:tc>
          <w:tcPr>
            <w:tcW w:type="dxa" w:w="7173"/>
          </w:tcPr>
          <w:tcPr/>
          <w:p>
            <w:pPr>
              <w:pStyle w:val="Compact"/>
              <w:jc w:val="center"/>
            </w:pPr>
            <w:r>
              <w:t xml:space="preserve">NaCl(s) → NaCl(aq)</w:t>
            </w:r>
          </w:p>
        </w:tc>
        <w:tc>
          <w:tcPr>
            <w:tcW w:type="dxa" w:w="2579"/>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End w:id="26"/>
    <w:bookmarkStart w:id="27" w:name="第-8-题13-分多孔材料的吸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分）多孔材料的吸附</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End w:id="27"/>
    <w:bookmarkStart w:id="28" w:name="第-9-题13-分沉淀的演化与成核热力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分）沉淀的演化与成核热力学</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End w:id="28"/>
    <w:bookmarkStart w:id="29" w:name="第-10-题13-分硝酸的热力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分）硝酸的热力学</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p>
      <w:pPr>
        <w:pStyle w:val="BodyText"/>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(g) 21.0</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End w:id="29"/>
    <w:bookmarkEnd w:id="30"/>
    <w:bookmarkEnd w:id="3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2026-10-12T02:47:27Z</dcterms:created>
  <dcterms:modified xsi:type="dcterms:W3CDTF">2026-10-12T02:47:27Z</dcterms:modified>
</cp:coreProperties>
</file>

<file path=docProps/custom.xml><?xml version="1.0" encoding="utf-8"?>
<Properties xmlns="http://schemas.openxmlformats.org/officeDocument/2006/custom-properties" xmlns:vt="http://schemas.openxmlformats.org/officeDocument/2006/docPropsVTypes"/>
</file>