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超分子聚合物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超分子相互作用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主客体化学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§56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能列举超分子相互作用的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种类型及其强度范围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方向性特征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ascii="Times New Roman" w:hAnsi="Times New Roman" w:eastAsia="Times New Roman" w:cs="Times New Roman"/>
              </w:rPr>
              <w:t xml:space="preserve"> cavitand/clathrand/complex/cavitate/clathrate </w:t>
            </w:r>
            <w:r>
              <w:rPr>
                <w:rFonts w:hint="eastAsia" w:ascii="Times New Roman" w:hAnsi="Times New Roman" w:eastAsia="FangSong" w:cs="Times New Roman"/>
              </w:rPr>
              <w:t>等核心术语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能识别竞赛信息题中的超分子化学素材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能用大环效应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互补性解释结合常数变化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能理解冠醚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环糊精的结构特征与选择性规律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共价三种模板效应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能理解索烃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轮烷的模板合成原理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T</m:t>
              </m:r>
              <m:r>
                <m:t>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大环效应：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大二环效应：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有效浓度：</m:t>
              </m:r>
              <m:r>
                <m:t>&amp;</m:t>
              </m:r>
              <m:r>
                <m:t> 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y</m:t>
                      </m:r>
                    </m:sub>
                  </m:sSub>
                </m:den>
              </m:f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单位：mol/L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结合自由能：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</w:tbl>
    <w:p>
      <w:pPr>
        <w:numPr>
          <w:ilvl w:val="0"/>
          <w:numId w:val="1010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解释为什么萘的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解释为什么蒽的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预测在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(Na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>(K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>)/M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</w:tbl>
    <w:p>
      <w:pPr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的选择性比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解释为什么穴醚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（8.0×10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/ 2.0×10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远高于冠醚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（6.3×10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/ 1.0×10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63）。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从预组织和大二环效应的角度解释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之间的主要驱动力是什么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为什么选择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作为溶剂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信号低场位移说明了什么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预测若将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的空穴直径从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对小分子客体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有何影响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2026-09-21T02:52:55Z</dcterms:created>
  <dcterms:modified xsi:type="dcterms:W3CDTF">2026-09-21T02:52:55Z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