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自由基反应的kie与合成应用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自由基反应的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SimHei" w:cs="Times New Roman"/>
        </w:rPr>
        <w:t>与合成应用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在使用非手性</w:t>
      </w:r>
      <w:r>
        <w:rPr>
          <w:rFonts w:ascii="Times New Roman" w:hAnsi="Times New Roman" w:eastAsia="Times New Roman" w:cs="Times New Roman"/>
        </w:rPr>
        <w:t xml:space="preserve"> NHC–BH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底物中含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C–D </w:t>
      </w:r>
      <w:r>
        <w:rPr>
          <w:rFonts w:hint="eastAsia" w:ascii="Times New Roman" w:hAnsi="Times New Roman" w:eastAsia="FangSong" w:cs="Times New Roman"/>
        </w:rPr>
        <w:t>两种可选攫氢位点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判断以下哪一个是主产物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原题含反应式选项图片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参见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 xml:space="preserve">届初赛试题解析第</w:t>
      </w:r>
      <w:r>
        <w:rPr>
          <w:rFonts w:ascii="Times New Roman" w:hAnsi="Times New Roman" w:eastAsia="Times New Roman" w:cs="Times New Roman"/>
        </w:rPr>
        <w:t xml:space="preserve"> 10.6 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依据本题所提供的信息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完成以下反应式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产物为六元环衍生物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并含有两个芳环取代基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≡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rPr>
              <m:sty m:val="p"/>
            </m:rPr>
            <m:t>F</m:t>
          </m:r>
          <m:r>
            <m:t>​</m:t>
          </m:r>
          <m:r>
            <m:rPr>
              <m:sty m:val="p"/>
            </m:rPr>
            <m:t>−</m:t>
          </m:r>
          <m:r>
            <m:t>​</m:t>
          </m:r>
          <m:r>
            <m:t>​</m:t>
          </m:r>
          <m:r>
            <m:rPr>
              <m:sty m:val="p"/>
            </m:rPr>
            <m:t>○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</m:lim>
              </m:limUpp>
            </m:e>
            <m:lim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lim>
          </m:limLow>
          <m:r>
            <m:t> </m:t>
          </m:r>
          <m:r>
            <m:rPr>
              <m:sty m:val="p"/>
            </m:rPr>
            <m:t>?</m:t>
          </m:r>
        </m:oMath>
      </m:oMathPara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C–H </w:t>
      </w:r>
      <w:r>
        <w:rPr>
          <w:rFonts w:hint="eastAsia" w:ascii="Times New Roman" w:hAnsi="Times New Roman" w:eastAsia="FangSong" w:cs="Times New Roman"/>
        </w:rPr>
        <w:t xml:space="preserve">键优先断裂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路径的产物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&lt; C–D </w:t>
      </w:r>
      <w:r>
        <w:rPr>
          <w:rFonts w:hint="eastAsia" w:ascii="Times New Roman" w:hAnsi="Times New Roman" w:eastAsia="FangSong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差值约</w:t>
      </w:r>
      <w:r>
        <w:rPr>
          <w:rFonts w:ascii="Times New Roman" w:hAnsi="Times New Roman" w:eastAsia="Times New Roman" w:cs="Times New Roman"/>
        </w:rPr>
        <w:t xml:space="preserve"> 12 kJ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hint="eastAsia" w:ascii="Times New Roman" w:hAnsi="Times New Roman" w:eastAsia="FangSong" w:cs="Times New Roman"/>
          <w:b/>
          <w:bCs/>
        </w:rPr>
        <w:t>零点能差异</w:t>
      </w:r>
      <w:r>
        <w:rPr>
          <w:rFonts w:hint="eastAsia" w:ascii="Times New Roman" w:hAnsi="Times New Roman" w:eastAsia="Times New Roman" w:cs="Times New Roman"/>
          <w:b/>
          <w:bCs/>
        </w:rPr>
        <w:t>（ZPE）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h</m:t>
          </m:r>
          <m:r>
            <m:t>ν</m:t>
          </m:r>
          <m:r>
            <m:rPr>
              <m:sty m:val="p"/>
            </m:rPr>
            <m:t>,</m:t>
          </m:r>
          <m:r>
            <m:t> 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μ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C–H </w:t>
      </w:r>
      <w:r>
        <w:rPr>
          <w:rFonts w:hint="eastAsia" w:ascii="Times New Roman" w:hAnsi="Times New Roman" w:eastAsia="FangSong" w:cs="Times New Roman"/>
        </w:rPr>
        <w:t xml:space="preserve">约化质量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更大</w:t>
      </w:r>
      <w:r>
        <w:rPr>
          <w:rFonts w:ascii="Times New Roman" w:hAnsi="Times New Roman" w:eastAsia="Times New Roman" w:cs="Times New Roman"/>
        </w:rPr>
        <w:t xml:space="preserve"> → ZPE </w:t>
      </w:r>
      <w:r>
        <w:rPr>
          <w:rFonts w:hint="eastAsia" w:ascii="Times New Roman" w:hAnsi="Times New Roman" w:eastAsia="FangSong" w:cs="Times New Roman"/>
        </w:rPr>
        <w:t xml:space="preserve">更高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ZPE </w:t>
      </w:r>
      <w:r>
        <w:rPr>
          <w:rFonts w:hint="eastAsia" w:ascii="Times New Roman" w:hAnsi="Times New Roman" w:eastAsia="FangSong" w:cs="Times New Roman"/>
        </w:rPr>
        <w:t xml:space="preserve">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基态能量越高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更接近被拉断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键解离能更低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​</m:t>
        </m:r>
        <m:r>
          <m:rPr>
            <m:sty m:val="p"/>
          </m:rPr>
          <m:t>−</m:t>
        </m:r>
        <m:r>
          <m:rPr>
            <m:sty m:val="p"/>
          </m:rPr>
          <m:t>​</m:t>
        </m:r>
        <m:r>
          <m:rPr>
            <m:sty m:val="p"/>
          </m:rPr>
          <m:t>H</m:t>
        </m:r>
        <m:r>
          <m:rPr>
            <m:sty m:val="p"/>
          </m:rPr>
          <m:t>:</m:t>
        </m:r>
        <m:r>
          <m:t>431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​</m:t>
        </m:r>
        <m:r>
          <m:rPr>
            <m:sty m:val="p"/>
          </m:rPr>
          <m:t>−</m:t>
        </m:r>
        <m:r>
          <m:rPr>
            <m:sty m:val="p"/>
          </m:rPr>
          <m:t>​</m:t>
        </m:r>
        <m:r>
          <m:rPr>
            <m:sty m:val="p"/>
          </m:rPr>
          <m:t>D</m:t>
        </m:r>
        <m:r>
          <m:rPr>
            <m:sty m:val="p"/>
          </m:rPr>
          <m:t>:</m:t>
        </m:r>
        <m:r>
          <m:t>443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此即</w:t>
      </w:r>
      <w:r>
        <w:rPr>
          <w:rFonts w:hint="eastAsia" w:ascii="Times New Roman" w:hAnsi="Times New Roman" w:eastAsia="FangSong" w:cs="Times New Roman"/>
          <w:b/>
          <w:bCs/>
        </w:rPr>
        <w:t>动力学同位素效应</w:t>
      </w:r>
      <w:r>
        <w:rPr>
          <w:rFonts w:hint="eastAsia" w:ascii="Times New Roman" w:hAnsi="Times New Roman" w:eastAsia="Times New Roman" w:cs="Times New Roman"/>
          <w:b/>
          <w:bCs/>
        </w:rPr>
        <w:t>（KIE）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同位素标记实验还用于验证机理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 xml:space="preserve">全部替换为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被完全保留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的路径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反应过程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对炔加成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烯基自由基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氢迁移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或分子内适当位置攫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苄基自由基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与芳环相连的不饱和键发生自由基环化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碎裂消除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产物为含两个芳环取代基的六元环衍生物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基团和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​</m:t>
        </m:r>
        <m:r>
          <m:rPr>
            <m:sty m:val="p"/>
          </m:rPr>
          <m:t>−</m:t>
        </m:r>
        <m:r>
          <m:rPr>
            <m:sty m:val="p"/>
          </m:rPr>
          <m:t>​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​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基团位于环上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产物结构图参见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届初赛试题解析图片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解题思路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10.6：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C–D </w:t>
      </w:r>
      <w:r>
        <w:rPr>
          <w:rFonts w:hint="eastAsia" w:ascii="Times New Roman" w:hAnsi="Times New Roman" w:eastAsia="FangSong" w:cs="Times New Roman"/>
        </w:rPr>
        <w:t>的键解离能</w:t>
      </w:r>
      <w:r>
        <w:rPr>
          <w:rFonts w:hint="eastAsia" w:ascii="Times New Roman" w:hAnsi="Times New Roman" w:eastAsia="Times New Roman" w:cs="Times New Roman"/>
        </w:rPr>
        <w:t>（ZPE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差异</w:t>
      </w:r>
      <w:r>
        <w:rPr>
          <w:rFonts w:ascii="Times New Roman" w:hAnsi="Times New Roman" w:eastAsia="Times New Roman" w:cs="Times New Roman"/>
        </w:rPr>
        <w:t xml:space="preserve"> → C–H </w:t>
      </w:r>
      <w:r>
        <w:rPr>
          <w:rFonts w:hint="eastAsia" w:ascii="Times New Roman" w:hAnsi="Times New Roman" w:eastAsia="FangSong" w:cs="Times New Roman"/>
        </w:rPr>
        <w:t>键更弱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10.7：</w:t>
      </w:r>
      <w:r>
        <w:rPr>
          <w:rFonts w:hint="eastAsia" w:ascii="Times New Roman" w:hAnsi="Times New Roman" w:eastAsia="FangSong" w:cs="Times New Roman"/>
        </w:rPr>
        <w:t>按机理模式推断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自由基中间体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六元环暗示</w:t>
      </w:r>
      <w:r>
        <w:rPr>
          <w:rFonts w:ascii="Times New Roman" w:hAnsi="Times New Roman" w:eastAsia="Times New Roman" w:cs="Times New Roman"/>
        </w:rPr>
        <w:t xml:space="preserve"> 6-endo-trig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6-exo-trig </w:t>
      </w:r>
      <w:r>
        <w:rPr>
          <w:rFonts w:hint="eastAsia" w:ascii="Times New Roman" w:hAnsi="Times New Roman" w:eastAsia="FangSong" w:cs="Times New Roman"/>
        </w:rPr>
        <w:t>环化模式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两个芳环取代基体现于底物的酯基芳环和氟代芳环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的两种应用场景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速率差异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标记追踪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将同位素效应归因于键能本身而非</w:t>
      </w:r>
      <w:r>
        <w:rPr>
          <w:rFonts w:ascii="Times New Roman" w:hAnsi="Times New Roman" w:eastAsia="Times New Roman" w:cs="Times New Roman"/>
        </w:rPr>
        <w:t xml:space="preserve"> ZPE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- 10.7 </w:t>
      </w:r>
      <w:r>
        <w:rPr>
          <w:rFonts w:hint="eastAsia" w:ascii="Times New Roman" w:hAnsi="Times New Roman" w:eastAsia="FangSong" w:cs="Times New Roman"/>
        </w:rPr>
        <w:t>中氢迁移路径判断错误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需注意底物中可攫氢的位置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自由基攫氢选择性</w:t>
      </w:r>
      <w:r>
        <w:rPr>
          <w:rFonts w:hint="eastAsia" w:ascii="Times New Roman" w:hAnsi="Times New Roman" w:eastAsia="Times New Roman" w:cs="Times New Roman"/>
        </w:rPr>
        <w:t>、C–H</w:t>
      </w:r>
      <w:r>
        <w:rPr>
          <w:rFonts w:ascii="Times New Roman" w:hAnsi="Times New Roman" w:eastAsia="Times New Roman" w:cs="Times New Roman"/>
        </w:rPr>
        <w:t xml:space="preserve"> vs C–D </w:t>
      </w:r>
      <w:r>
        <w:rPr>
          <w:rFonts w:hint="eastAsia" w:ascii="Times New Roman" w:hAnsi="Times New Roman" w:eastAsia="FangSong" w:cs="Times New Roman"/>
        </w:rPr>
        <w:t xml:space="preserve">键解离能差异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同位素效应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ZPE </w:t>
      </w:r>
      <w:r>
        <w:rPr>
          <w:rFonts w:hint="eastAsia" w:ascii="Times New Roman" w:hAnsi="Times New Roman" w:eastAsia="FangSong" w:cs="Times New Roman"/>
        </w:rPr>
        <w:t xml:space="preserve">差异导致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KIE、</w:t>
      </w:r>
      <w:r>
        <w:rPr>
          <w:rFonts w:hint="eastAsia" w:ascii="Times New Roman" w:hAnsi="Times New Roman" w:eastAsia="FangSong" w:cs="Times New Roman"/>
        </w:rPr>
        <w:t>同位素标记法验证反应机理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自由基环化策略在合成中的应用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碎裂消除终止步骤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2026-09-19T14:11:11Z</dcterms:created>
  <dcterms:modified xsi:type="dcterms:W3CDTF">2026-09-19T14:11:11Z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