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原子结构前置知识速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原子结构前置知识速查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能说清质子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电子以及质量数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中子数之间的基本关系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同位素等概念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并按质量数守恒与电荷数守恒处理简单核反应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能读懂能层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基态与激发态等进入原子结构前必须掌握的语言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电负性和原子半径等常用性质记号建立基础认识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原子构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≈1/1836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质</m:t>
          </m:r>
          <m:r>
            <m:t>量</m:t>
          </m:r>
          <m:r>
            <m:t>数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中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原</m:t>
          </m:r>
          <m:r>
            <m:t>子</m:t>
          </m:r>
          <m:r>
            <m:t>序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电</m:t>
          </m:r>
          <m:r>
            <m:t>荷</m:t>
          </m:r>
          <m:r>
            <m:t>数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外</m:t>
          </m:r>
          <m:r>
            <m:t>电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中</m:t>
          </m:r>
          <m:r>
            <m:t>性</m:t>
          </m:r>
          <m:r>
            <m:t>原</m:t>
          </m:r>
          <m:r>
            <m:t>子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常见符号位置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Z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X</m:t>
          </m:r>
          <m:r>
            <m:t> </m:t>
          </m:r>
          <m:r>
            <m:t> </m:t>
          </m:r>
          <m:r>
            <m:rPr>
              <m:nor/>
              <m:sty m:val="p"/>
            </m:rPr>
            <m:t>(左上角=质量数，左下角=原子序数)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二元素-核素-同位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核素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同位素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具有相同质子数的一类原子总称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H, O,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具有特定质子数和特定中子数的原子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同一元素的不同核素互称同位素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12</m:t>
                  </m:r>
                </m:sup>
              </m:sSub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化学性质几乎相同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核外电子数相同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物理性质有差异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放射性同位素可用于测年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示踪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核反应与核衰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核反应与核衰变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竞赛中核反应方程式的配平是基础考点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核反应</w:t>
      </w:r>
    </w:p>
    <w:bookmarkStart w:id="12" w:name="衰变类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衰变类型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放出粒子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正电子发射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5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电子俘获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（K</w:t>
            </w:r>
            <w:r>
              <w:rPr>
                <w:rFonts w:hint="eastAsia" w:ascii="Times New Roman" w:hAnsi="Times New Roman" w:eastAsia="FangSong" w:cs="Times New Roman"/>
              </w:rPr>
              <w:t>层电子被核捕获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19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18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2"/>
    <w:bookmarkStart w:id="13" w:name="核反应四大守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核反应四大守恒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质量数守恒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反应前后上标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反应前后下标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质量亏损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动量守恒</w:t>
      </w:r>
    </w:p>
    <w:bookmarkEnd w:id="13"/>
    <w:bookmarkStart w:id="14" w:name="常见粒子符号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常见粒子符号速记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四能层与能级高中版-竞赛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能层与能级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高中版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竞赛衔接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能层shell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能层</w:t>
      </w:r>
      <w:r>
        <w:rPr>
          <w:rFonts w:hint="eastAsia" w:ascii="Times New Roman" w:hAnsi="Times New Roman" w:eastAsia="Times New Roman" w:cs="Times New Roman"/>
        </w:rPr>
        <w:t>（Shell）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能层序号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能级subshell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（Subshell）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每个能层包含的能级数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能层序数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最多电子数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→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= 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→ 3p → 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=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→ 4p → 4d → 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+ 14 = 32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能级与轨道数</w:t>
      </w:r>
      <w:r>
        <w:rPr>
          <w:rFonts w:hint="eastAsia" w:ascii="Times New Roman" w:hAnsi="Times New Roman" w:eastAsia="Times New Roman" w:cs="Times New Roman"/>
        </w:rPr>
        <w:t>：s=1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(2e)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p=3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(6e)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d=5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(10e)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f=7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(14e)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19" w:name="五基态与激发态-原子光谱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基态与激发态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原子光谱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原子处于最低能量状态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激发态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基态原子吸收能量后电子跃迁到高能级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光谱类型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发射光谱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或低能级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释放光子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亮线光谱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基态原子吸收特定波长的光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暗线光谱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连续光谱背景上的暗线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光谱分析的应用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每种元素有特征谱线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可用于元素检测与含量分析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六元素周期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元素周期表结构</w:t>
      </w:r>
    </w:p>
    <w:bookmarkStart w:id="20" w:name="周期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起止元素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→ 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→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→ 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→ 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→ Xe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 → Rn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32(</w:t>
            </w:r>
            <w:r>
              <w:rPr>
                <w:rFonts w:hint="eastAsia" w:ascii="Times New Roman" w:hAnsi="Times New Roman" w:eastAsia="FangSong" w:cs="Times New Roman"/>
              </w:rPr>
              <w:t>未完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 → Og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电子层数</w:t>
      </w:r>
    </w:p>
    <w:bookmarkEnd w:id="20"/>
    <w:bookmarkStart w:id="21" w:name="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主族</w:t>
      </w:r>
      <w:r>
        <w:rPr>
          <w:rFonts w:hint="eastAsia" w:ascii="Times New Roman" w:hAnsi="Times New Roman" w:eastAsia="Times New Roman" w:cs="Times New Roman"/>
        </w:rPr>
        <w:t>：ⅠA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ⅦA（1,2,13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主族族数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：ⅠB~ⅦB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Ⅷ（3~12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过渡元素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：ⅠA+ⅡA（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：ⅢA~ⅦA+0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：ⅢB~ⅦB+Ⅷ（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：ⅠB+ⅡB（d</w:t>
      </w:r>
      <w:r>
        <w:rPr>
          <w:rFonts w:hint="eastAsia" w:ascii="Times New Roman" w:hAnsi="Times New Roman" w:eastAsia="FangSong" w:cs="Times New Roman"/>
        </w:rPr>
        <w:t>轨道填满后加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钢系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4" w:name="七周期律基础趋势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周期律基础趋势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+1→+7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最低负价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-4→-1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>以上为基础高中水平趋势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竞赛阶段需要理解</w:t>
      </w:r>
      <w:r>
        <w:rPr>
          <w:rFonts w:hint="eastAsia" w:ascii="Times New Roman" w:hAnsi="Times New Roman" w:eastAsia="FangSong" w:cs="Times New Roman"/>
          <w:b/>
          <w:bCs/>
        </w:rPr>
        <w:t xml:space="preserve">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的电子排布解释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八与超级充实版的衔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与超级充实版的衔接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超级充实版对应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竞赛级提升内容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隐含于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不再重复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直接使用符号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隐含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作为独立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量子数作为轨道标签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量子化本质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特征光谱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排布基础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§3.1-3.3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三原则</w:t>
            </w:r>
            <w:r>
              <w:rPr>
                <w:rFonts w:hint="eastAsia" w:ascii="Times New Roman" w:hAnsi="Times New Roman" w:eastAsia="Times New Roman" w:cs="Times New Roman"/>
              </w:rPr>
              <w:t>+Cr/Cu</w:t>
            </w:r>
            <w:r>
              <w:rPr>
                <w:rFonts w:hint="eastAsia" w:ascii="Times New Roman" w:hAnsi="Times New Roman" w:eastAsia="FangSong" w:cs="Times New Roman"/>
              </w:rPr>
              <w:t>特例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§3.5-3.6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周期律基础趋势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四趋势反常解释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本速查页配合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原子结构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详细知识库条目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核反应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半衰期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原子结构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量子数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</w:t>
      </w:r>
    </w:p>
    <w:bookmarkEnd w:id="25"/>
    <w:bookmarkEnd w:id="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2026-09-11T07:25:21Z</dcterms:created>
  <dcterms:modified xsi:type="dcterms:W3CDTF">2026-09-11T07:25:21Z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