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第九讲-离子反应"/>
    <w:p>
      <w:pPr>
        <w:pStyle w:val="Heading1"/>
        <w:spacing w:before="280" w:after="120"/>
        <w:jc w:val="center"/>
      </w:pPr>
      <w:r>
        <w:rPr>
          <w:rFonts w:hint="eastAsia" w:ascii="Times New Roman" w:hAnsi="Times New Roman" w:eastAsia="SimHei" w:cs="Times New Roman"/>
        </w:rPr>
        <w:t xml:space="preserve">第九讲</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w:t>
      </w:r>
    </w:p>
    <w:p>
      <w:pPr>
        <w:pStyle w:val="FirstParagraph"/>
        <w:ind w:firstLine="420"/>
      </w:pPr>
      <w:r>
        <w:rPr>
          <w:rFonts w:hint="eastAsia" w:ascii="Times New Roman" w:hAnsi="Times New Roman" w:eastAsia="FangSong" w:cs="Times New Roman"/>
        </w:rPr>
        <w:t>水是地球上最卓越的极性电离溶剂</w:t>
      </w:r>
      <w:r>
        <w:rPr>
          <w:rFonts w:hint="eastAsia" w:ascii="Times New Roman" w:hAnsi="Times New Roman" w:eastAsia="Times New Roman" w:cs="Times New Roman"/>
        </w:rPr>
        <w:t>。</w:t>
      </w: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绝大多数化学物质并不以孤立的共价分子形态进行热运动碰撞</w:t>
      </w:r>
      <w:r>
        <w:rPr>
          <w:rFonts w:hint="eastAsia" w:ascii="Times New Roman" w:hAnsi="Times New Roman" w:eastAsia="Times New Roman" w:cs="Times New Roman"/>
        </w:rPr>
        <w:t>，</w:t>
      </w:r>
      <w:r>
        <w:rPr>
          <w:rFonts w:hint="eastAsia" w:ascii="Times New Roman" w:hAnsi="Times New Roman" w:eastAsia="FangSong" w:cs="Times New Roman"/>
        </w:rPr>
        <w:t>而是发生深度的电离解离</w:t>
      </w:r>
      <w:r>
        <w:rPr>
          <w:rFonts w:hint="eastAsia" w:ascii="Times New Roman" w:hAnsi="Times New Roman" w:eastAsia="Times New Roman" w:cs="Times New Roman"/>
        </w:rPr>
        <w:t>，</w:t>
      </w:r>
      <w:r>
        <w:rPr>
          <w:rFonts w:hint="eastAsia" w:ascii="Times New Roman" w:hAnsi="Times New Roman" w:eastAsia="FangSong" w:cs="Times New Roman"/>
        </w:rPr>
        <w:t>转化为被定向极化偶极水分子紧密包围的水合离子</w:t>
      </w:r>
      <w:r>
        <w:rPr>
          <w:rFonts w:hint="eastAsia" w:ascii="Times New Roman" w:hAnsi="Times New Roman" w:eastAsia="Times New Roman" w:cs="Times New Roman"/>
        </w:rPr>
        <w:t>。</w:t>
      </w:r>
      <w:r>
        <w:rPr>
          <w:rFonts w:hint="eastAsia" w:ascii="Times New Roman" w:hAnsi="Times New Roman" w:eastAsia="FangSong" w:cs="Times New Roman"/>
        </w:rPr>
        <w:t>离子反应正是指在水相或电离介质中</w:t>
      </w:r>
      <w:r>
        <w:rPr>
          <w:rFonts w:hint="eastAsia" w:ascii="Times New Roman" w:hAnsi="Times New Roman" w:eastAsia="Times New Roman" w:cs="Times New Roman"/>
        </w:rPr>
        <w:t>，</w:t>
      </w:r>
      <w:r>
        <w:rPr>
          <w:rFonts w:hint="eastAsia" w:ascii="Times New Roman" w:hAnsi="Times New Roman" w:eastAsia="FangSong" w:cs="Times New Roman"/>
        </w:rPr>
        <w:t>有离子实际参与或生成的化学反应</w:t>
      </w:r>
      <w:r>
        <w:rPr>
          <w:rFonts w:hint="eastAsia" w:ascii="Times New Roman" w:hAnsi="Times New Roman" w:eastAsia="Times New Roman" w:cs="Times New Roman"/>
        </w:rPr>
        <w:t>。</w:t>
      </w:r>
      <w:r>
        <w:rPr>
          <w:rFonts w:hint="eastAsia" w:ascii="Times New Roman" w:hAnsi="Times New Roman" w:eastAsia="FangSong" w:cs="Times New Roman"/>
        </w:rPr>
        <w:t>离子反应构成了水溶液化学</w:t>
      </w:r>
      <w:r>
        <w:rPr>
          <w:rFonts w:hint="eastAsia" w:ascii="Times New Roman" w:hAnsi="Times New Roman" w:eastAsia="Times New Roman" w:cs="Times New Roman"/>
        </w:rPr>
        <w:t>、</w:t>
      </w:r>
      <w:r>
        <w:rPr>
          <w:rFonts w:hint="eastAsia" w:ascii="Times New Roman" w:hAnsi="Times New Roman" w:eastAsia="FangSong" w:cs="Times New Roman"/>
        </w:rPr>
        <w:t>生命电解质代谢</w:t>
      </w:r>
      <w:r>
        <w:rPr>
          <w:rFonts w:hint="eastAsia" w:ascii="Times New Roman" w:hAnsi="Times New Roman" w:eastAsia="Times New Roman" w:cs="Times New Roman"/>
        </w:rPr>
        <w:t>、</w:t>
      </w:r>
      <w:r>
        <w:rPr>
          <w:rFonts w:hint="eastAsia" w:ascii="Times New Roman" w:hAnsi="Times New Roman" w:eastAsia="FangSong" w:cs="Times New Roman"/>
        </w:rPr>
        <w:t>环境水质转化及现代湿法冶金与化工合成的总纲与中枢基石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从微观物理化学高度审视</w:t>
      </w:r>
      <w:r>
        <w:rPr>
          <w:rFonts w:hint="eastAsia" w:ascii="Times New Roman" w:hAnsi="Times New Roman" w:eastAsia="Times New Roman" w:cs="Times New Roman"/>
        </w:rPr>
        <w:t>，</w:t>
      </w:r>
      <w:r>
        <w:rPr>
          <w:rFonts w:hint="eastAsia" w:ascii="Times New Roman" w:hAnsi="Times New Roman" w:eastAsia="FangSong" w:cs="Times New Roman"/>
        </w:rPr>
        <w:t>宏观水溶液中所呈现出的酸碱质子传递</w:t>
      </w:r>
      <w:r>
        <w:rPr>
          <w:rFonts w:hint="eastAsia" w:ascii="Times New Roman" w:hAnsi="Times New Roman" w:eastAsia="Times New Roman" w:cs="Times New Roman"/>
        </w:rPr>
        <w:t>、</w:t>
      </w:r>
      <w:r>
        <w:rPr>
          <w:rFonts w:hint="eastAsia" w:ascii="Times New Roman" w:hAnsi="Times New Roman" w:eastAsia="FangSong" w:cs="Times New Roman"/>
        </w:rPr>
        <w:t>沉淀晶格析出与溶解</w:t>
      </w:r>
      <w:r>
        <w:rPr>
          <w:rFonts w:hint="eastAsia" w:ascii="Times New Roman" w:hAnsi="Times New Roman" w:eastAsia="Times New Roman" w:cs="Times New Roman"/>
        </w:rPr>
        <w:t>、</w:t>
      </w:r>
      <w:r>
        <w:rPr>
          <w:rFonts w:hint="eastAsia" w:ascii="Times New Roman" w:hAnsi="Times New Roman" w:eastAsia="FangSong" w:cs="Times New Roman"/>
        </w:rPr>
        <w:t>配合物配位场形成</w:t>
      </w:r>
      <w:r>
        <w:rPr>
          <w:rFonts w:hint="eastAsia" w:ascii="Times New Roman" w:hAnsi="Times New Roman" w:eastAsia="Times New Roman" w:cs="Times New Roman"/>
        </w:rPr>
        <w:t>、</w:t>
      </w:r>
      <w:r>
        <w:rPr>
          <w:rFonts w:hint="eastAsia" w:ascii="Times New Roman" w:hAnsi="Times New Roman" w:eastAsia="FangSong" w:cs="Times New Roman"/>
        </w:rPr>
        <w:t>氧化还原电子跃迁以及水解聚合等多姿多彩的化学反应</w:t>
      </w:r>
      <w:r>
        <w:rPr>
          <w:rFonts w:hint="eastAsia" w:ascii="Times New Roman" w:hAnsi="Times New Roman" w:eastAsia="Times New Roman" w:cs="Times New Roman"/>
        </w:rPr>
        <w:t>，</w:t>
      </w:r>
      <w:r>
        <w:rPr>
          <w:rFonts w:hint="eastAsia" w:ascii="Times New Roman" w:hAnsi="Times New Roman" w:eastAsia="FangSong" w:cs="Times New Roman"/>
        </w:rPr>
        <w:t>其表象虽迥异</w:t>
      </w:r>
      <w:r>
        <w:rPr>
          <w:rFonts w:hint="eastAsia" w:ascii="Times New Roman" w:hAnsi="Times New Roman" w:eastAsia="Times New Roman" w:cs="Times New Roman"/>
        </w:rPr>
        <w:t>，</w:t>
      </w:r>
      <w:r>
        <w:rPr>
          <w:rFonts w:hint="eastAsia" w:ascii="Times New Roman" w:hAnsi="Times New Roman" w:eastAsia="FangSong" w:cs="Times New Roman"/>
        </w:rPr>
        <w:t>但在微观热力学本质上是完全高度统一的</w:t>
      </w:r>
      <w:r>
        <w:rPr>
          <w:rFonts w:hint="eastAsia" w:ascii="Times New Roman" w:hAnsi="Times New Roman" w:eastAsia="Times New Roman" w:cs="Times New Roman"/>
        </w:rPr>
        <w:t>——</w:t>
      </w:r>
      <w:r>
        <w:rPr>
          <w:rFonts w:hint="eastAsia" w:ascii="Times New Roman" w:hAnsi="Times New Roman" w:eastAsia="FangSong" w:cs="Times New Roman"/>
        </w:rPr>
        <w:t>它们无一例外受控于体系吉布斯自由能最小化准则</w:t>
      </w:r>
      <w:r>
        <w:rPr>
          <w:rFonts w:hint="eastAsia" w:ascii="Times New Roman" w:hAnsi="Times New Roman" w:eastAsia="Times New Roman" w:cs="Times New Roman"/>
        </w:rPr>
        <w:t>。</w:t>
      </w:r>
      <w:r>
        <w:rPr>
          <w:rFonts w:hint="eastAsia" w:ascii="Times New Roman" w:hAnsi="Times New Roman" w:eastAsia="FangSong" w:cs="Times New Roman"/>
        </w:rPr>
        <w:t>掌握离子反应的精髓</w:t>
      </w:r>
      <w:r>
        <w:rPr>
          <w:rFonts w:hint="eastAsia" w:ascii="Times New Roman" w:hAnsi="Times New Roman" w:eastAsia="Times New Roman" w:cs="Times New Roman"/>
        </w:rPr>
        <w:t>，</w:t>
      </w:r>
      <w:r>
        <w:rPr>
          <w:rFonts w:hint="eastAsia" w:ascii="Times New Roman" w:hAnsi="Times New Roman" w:eastAsia="FangSong" w:cs="Times New Roman"/>
        </w:rPr>
        <w:t>核心在于摆脱对孤立零散化学方程式的机械死记</w:t>
      </w:r>
      <w:r>
        <w:rPr>
          <w:rFonts w:hint="eastAsia" w:ascii="Times New Roman" w:hAnsi="Times New Roman" w:eastAsia="Times New Roman" w:cs="Times New Roman"/>
        </w:rPr>
        <w:t>，</w:t>
      </w:r>
      <w:r>
        <w:rPr>
          <w:rFonts w:hint="eastAsia" w:ascii="Times New Roman" w:hAnsi="Times New Roman" w:eastAsia="FangSong" w:cs="Times New Roman"/>
        </w:rPr>
        <w:t>建立以微观热力学平衡常数为底层量尺的</w:t>
      </w:r>
      <w:r>
        <w:rPr>
          <w:rFonts w:hint="eastAsia" w:ascii="Times New Roman" w:hAnsi="Times New Roman" w:eastAsia="Times New Roman" w:cs="Times New Roman"/>
        </w:rPr>
        <w:t>“</w:t>
      </w:r>
      <w:r>
        <w:rPr>
          <w:rFonts w:hint="eastAsia" w:ascii="Times New Roman" w:hAnsi="Times New Roman" w:eastAsia="FangSong" w:cs="Times New Roman"/>
        </w:rPr>
        <w:t>反应自发方向判据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多重离子共存推演体系</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一-水溶液离子反应的本质与热力学统一框架"/>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二-五大类离子反应的本质判据与平衡常数定量计算"/>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三-多重耦合平衡coupled-equilibria微观解析"/>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溶液离子共存的系统排查逻辑与七维判据网"/>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五-相对用量滴加顺序与优势物种动态演化"/>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六-离子方程式书写的正误甄别与学术规范自查"/>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七-核心离子热力学常数与反应判据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核心离子热力学常数与反应判据速查三线表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八-典范进阶例题例-14-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定影能力极其强大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此题极其生动地展示了多重配合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平衡常数高达惊人的</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此例题极其经典地展现了相对用量控制下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8.25]</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8.32]</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9.11]</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9.13]</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9.14]</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9.26]</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14.14]</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bookmarkEnd w:id="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2026-09-28T10:24:51Z</dcterms:created>
  <dcterms:modified xsi:type="dcterms:W3CDTF">2026-09-28T10:24:51Z</dcterms:modified>
</cp:coreProperties>
</file>

<file path=docProps/custom.xml><?xml version="1.0" encoding="utf-8"?>
<Properties xmlns="http://schemas.openxmlformats.org/officeDocument/2006/custom-properties" xmlns:vt="http://schemas.openxmlformats.org/officeDocument/2006/docPropsVTypes"/>
</file>