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完成本讲义后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FangSong" w:cs="Times New Roman"/>
        </w:rPr>
        <w:t xml:space="preserve">理想气体的定义和适用条件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掌握</w:t>
      </w:r>
      <w:r>
        <w:rPr>
          <w:rFonts w:hint="eastAsia" w:ascii="Times New Roman" w:hAnsi="Times New Roman" w:eastAsia="FangSong" w:cs="Times New Roman"/>
        </w:rPr>
        <w:t xml:space="preserve">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 xml:space="preserve">及其三种变形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分压定律计算混合气体的分压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解决</w:t>
      </w:r>
      <w:r>
        <w:rPr>
          <w:rFonts w:hint="eastAsia" w:ascii="Times New Roman" w:hAnsi="Times New Roman" w:eastAsia="FangSong" w:cs="Times New Roman"/>
        </w:rPr>
        <w:t xml:space="preserve">排水集气法中的湿气体校正问题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了解</w:t>
      </w:r>
      <w:r>
        <w:rPr>
          <w:rFonts w:hint="eastAsia" w:ascii="Times New Roman" w:hAnsi="Times New Roman" w:eastAsia="FangSong" w:cs="Times New Roman"/>
        </w:rPr>
        <w:t xml:space="preserve">真实气体与理想气体偏差的原因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Graham</w:t>
      </w:r>
      <w:r>
        <w:rPr>
          <w:rFonts w:hint="eastAsia" w:ascii="Times New Roman" w:hAnsi="Times New Roman" w:eastAsia="FangSong" w:cs="Times New Roman"/>
        </w:rPr>
        <w:t>扩散定律比较气体扩散速率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适用于一切气体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但只限于温度不太低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的行为非常接近理想气体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在一定条件下非常准确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同时由左侧压力计测得混合气总压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a.1-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白色雾环出现在中间偏右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的扩散速度快于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扩散得更快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a.2-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2026-09-11T06:23:00Z</dcterms:created>
  <dcterms:modified xsi:type="dcterms:W3CDTF">2026-09-11T06:23:00Z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