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M(0) → M(II)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迁移插入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配体迁移到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不饱和配体上</w:t>
      </w:r>
      <w:r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┌─────────→└───────┬───────┘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        ↓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再一轮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还原消除</w:t>
      </w:r>
      <w:r>
        <w:rPr>
          <w:rStyle w:val="VerbatimChar"/>
          <w:rFonts w:ascii="Times New Roman" w:hAnsi="Times New Roman" w:eastAsia="Times New Roman" w:cs="Times New Roman"/>
        </w:rPr>
        <w:t xml:space="preserve">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M(II) → M(0)    │ 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    │ ←─── </w:t>
      </w:r>
      <w:r>
        <w:rPr>
          <w:rStyle w:val="VerbatimChar"/>
          <w:rFonts w:hint="eastAsia" w:ascii="Times New Roman" w:hAnsi="Times New Roman" w:eastAsia="FangSong" w:cs="Times New Roman"/>
        </w:rPr>
        <w:t>关键区别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键生成</w:t>
      </w:r>
      <w:r>
        <w:rPr>
          <w:rStyle w:val="VerbatimChar"/>
          <w:rFonts w:ascii="Times New Roman" w:hAnsi="Times New Roman" w:eastAsia="Times New Roman" w:cs="Times New Roman"/>
        </w:rPr>
        <w:t xml:space="preserve">      │  16e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有利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Heck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└───────┬───────┘    Suzuki </w:t>
      </w:r>
      <w:r>
        <w:rPr>
          <w:rStyle w:val="VerbatimChar"/>
          <w:rFonts w:hint="eastAsia" w:ascii="Times New Roman" w:hAnsi="Times New Roman" w:eastAsia="FangSong" w:cs="Times New Roman"/>
        </w:rPr>
        <w:t>没有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 </w:t>
      </w:r>
      <w:r>
        <w:rPr>
          <w:rStyle w:val="VerbatimChar"/>
          <w:rFonts w:hint="eastAsia" w:ascii="Times New Roman" w:hAnsi="Times New Roman" w:eastAsia="FangSong" w:cs="Times New Roman"/>
        </w:rPr>
        <w:t>给电子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配体孤对电子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金属空</w:t>
      </w:r>
      <w:r>
        <w:rPr>
          <w:rStyle w:val="VerbatimChar"/>
          <w:rFonts w:ascii="Times New Roman" w:hAnsi="Times New Roman" w:eastAsia="Times New Roman" w:cs="Times New Roman"/>
        </w:rPr>
        <w:t xml:space="preserve"> dsp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π </w:t>
      </w:r>
      <w:r>
        <w:rPr>
          <w:rStyle w:val="VerbatimChar"/>
          <w:rFonts w:hint="eastAsia" w:ascii="Times New Roman" w:hAnsi="Times New Roman" w:eastAsia="FangSong" w:cs="Times New Roman"/>
        </w:rPr>
        <w:t>反馈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金属充满</w:t>
      </w:r>
      <w:r>
        <w:rPr>
          <w:rStyle w:val="VerbatimChar"/>
          <w:rFonts w:ascii="Times New Roman" w:hAnsi="Times New Roman" w:eastAsia="Times New Roman" w:cs="Times New Roman"/>
        </w:rPr>
        <w:t xml:space="preserve"> 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配体空</w:t>
      </w:r>
      <w:r>
        <w:rPr>
          <w:rStyle w:val="VerbatimChar"/>
          <w:rFonts w:ascii="Times New Roman" w:hAnsi="Times New Roman" w:eastAsia="Times New Roman" w:cs="Times New Roman"/>
        </w:rPr>
        <w:t xml:space="preserve"> 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–X（</w:t>
      </w:r>
      <w:r>
        <w:rPr>
          <w:rStyle w:val="VerbatimChar"/>
          <w:rFonts w:hint="eastAsia" w:ascii="Times New Roman" w:hAnsi="Times New Roman" w:eastAsia="FangSong" w:cs="Times New Roman"/>
        </w:rPr>
        <w:t>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烯基卤</w:t>
      </w:r>
      <w:r>
        <w:rPr>
          <w:rStyle w:val="VerbatimChar"/>
          <w:rFonts w:hint="eastAsia" w:ascii="Times New Roman" w:hAnsi="Times New Roman" w:eastAsia="Times New Roman" w:cs="Times New Roman"/>
        </w:rPr>
        <w:t>）+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–M（</w:t>
      </w:r>
      <w:r>
        <w:rPr>
          <w:rStyle w:val="VerbatimChar"/>
          <w:rFonts w:hint="eastAsia" w:ascii="Times New Roman" w:hAnsi="Times New Roman" w:eastAsia="FangSong" w:cs="Times New Roman"/>
        </w:rPr>
        <w:t>有机金属试剂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：Pd(0)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–X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转金属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–Pd(II)–X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–M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MX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base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① Pd(0)L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</w:rPr>
        <w:t xml:space="preserve"> + Ar–X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Ar–Pd(II)–X（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Ar–Pd–X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–Pd–X（</w:t>
      </w:r>
      <w:r>
        <w:rPr>
          <w:rStyle w:val="VerbatimChar"/>
          <w:rFonts w:hint="eastAsia" w:ascii="Times New Roman" w:hAnsi="Times New Roman" w:eastAsia="FangSong" w:cs="Times New Roman"/>
        </w:rPr>
        <w:t>迁移插入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碳钯化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③ Ar–CH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–Pd–X ──→ Ar–CH=CH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H–Pd–X（β-H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，syn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H–Pd–X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──→ Pd(0) + HX + 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·HX（</w:t>
      </w:r>
      <w:r>
        <w:rPr>
          <w:rStyle w:val="VerbatimChar"/>
          <w:rFonts w:hint="eastAsia" w:ascii="Times New Roman" w:hAnsi="Times New Roman" w:eastAsia="FangSong" w:cs="Times New Roman"/>
        </w:rPr>
        <w:t>还原再生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PdCl2/CuCl, H2O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烯烃配位到</w:t>
      </w:r>
      <w:r>
        <w:rPr>
          <w:rStyle w:val="VerbatimChar"/>
          <w:rFonts w:ascii="Times New Roman" w:hAnsi="Times New Roman" w:eastAsia="Times New Roman" w:cs="Times New Roman"/>
        </w:rPr>
        <w:t xml:space="preserve"> Pd(II) ──→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②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>亲核进攻取代较多的碳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马氏取向</w:t>
      </w:r>
      <w:r>
        <w:rPr>
          <w:rStyle w:val="VerbatimChar"/>
          <w:rFonts w:hint="eastAsia" w:ascii="Times New Roman" w:hAnsi="Times New Roman" w:eastAsia="Times New Roman" w:cs="Times New Roman"/>
        </w:rPr>
        <w:t>）──→</w:t>
      </w:r>
      <w:r>
        <w:rPr>
          <w:rStyle w:val="VerbatimChar"/>
          <w:rFonts w:ascii="Times New Roman" w:hAnsi="Times New Roman" w:eastAsia="Times New Roman" w:cs="Times New Roman"/>
        </w:rPr>
        <w:t xml:space="preserve"> C–Pd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</w:t>
      </w:r>
      <w:r>
        <w:rPr>
          <w:rStyle w:val="VerbatimChar"/>
          <w:rFonts w:ascii="Times New Roman" w:hAnsi="Times New Roman" w:eastAsia="Times New Roman" w:cs="Times New Roman"/>
        </w:rPr>
        <w:t xml:space="preserve"> + H–Pd(II)–X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Pd(0)（</w:t>
      </w:r>
      <w:r>
        <w:rPr>
          <w:rStyle w:val="VerbatimChar"/>
          <w:rFonts w:hint="eastAsia" w:ascii="Times New Roman" w:hAnsi="Times New Roman" w:eastAsia="FangSong" w:cs="Times New Roman"/>
        </w:rPr>
        <w:t>催化剂失活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⑤ 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──→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O（</w:t>
      </w:r>
      <w:r>
        <w:rPr>
          <w:rStyle w:val="VerbatimChar"/>
          <w:rFonts w:hint="eastAsia" w:ascii="Times New Roman" w:hAnsi="Times New Roman" w:eastAsia="FangSong" w:cs="Times New Roman"/>
        </w:rPr>
        <w:t>再氧化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──→ CuCl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Pd(II)（Pd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（Cu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→ CuCl + PdCl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[M]=CHR                 [M]=CHR'       [M]=CHR'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+                      +              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C=CHR'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交换舞伴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▼   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[M]──CHR               [M]──CHR'      [M]──CHR'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 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金属杂环丁烷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释放</w:t>
      </w:r>
      <w:r>
        <w:rPr>
          <w:rStyle w:val="VerbatimChar"/>
          <w:rFonts w:ascii="Times New Roman" w:hAnsi="Times New Roman" w:eastAsia="Times New Roman" w:cs="Times New Roma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Pd(0) + R–CH=CH–CH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OAc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π-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阳离子配合物</w:t>
      </w:r>
      <w:r>
        <w:rPr>
          <w:rStyle w:val="VerbatimChar"/>
          <w:rFonts w:hint="eastAsia" w:ascii="Times New Roman" w:hAnsi="Times New Roman" w:eastAsia="Times New Roman" w:cs="Times New Roman"/>
        </w:rPr>
        <w:t>（η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，16e）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软亲核试剂从</w:t>
      </w:r>
      <w:r>
        <w:rPr>
          <w:rStyle w:val="VerbatimChar"/>
          <w:rFonts w:ascii="Times New Roman" w:hAnsi="Times New Roman" w:eastAsia="Times New Roman" w:cs="Times New Roman"/>
        </w:rPr>
        <w:t xml:space="preserve"> Pd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第二次翻转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Ar–X + Pd(0) → Ar–Pd(II)–X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HNR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胺配位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NaOtBu,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HX)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Ar–Pd(II)–NR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→ Ar–NR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金属价电子数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+ [∑ </w:t>
      </w:r>
      <w:r>
        <w:rPr>
          <w:rStyle w:val="VerbatimChar"/>
          <w:rFonts w:hint="eastAsia" w:ascii="Times New Roman" w:hAnsi="Times New Roman" w:eastAsia="FangSong" w:cs="Times New Roman"/>
        </w:rPr>
        <w:t>配体贡献的电子数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PdCl2/CuCl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Grubbs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2026-09-11T06:23:34Z</dcterms:created>
  <dcterms:modified xsi:type="dcterms:W3CDTF">2026-09-11T06:23:34Z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