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bookmarkStart w:id="12" w:name="通性与成键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通性与成键特征</w:t>
      </w:r>
    </w:p>
    <w:p>
      <w:pPr>
        <w:pStyle w:val="FirstParagraph"/>
        <w:spacing w:after="80"/>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这一族展现出元素周期表中由非金属经半导体到典型金属的完整过渡</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碳原子的核电荷与半径配合得恰到好处</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使得碳构筑起了化学界丰富的同素异形体与共价化合物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金刚石骨架</w:t>
            </w:r>
          </w:p>
        </w:tc>
      </w:tr>
      <w:tr>
        <w:tc>
          <w:tcPr/>
          <w:p>
            <w:pPr>
              <w:pStyle w:val="Compact"/>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金刚石的三维共价骨架</w:t>
            </w:r>
          </w:p>
        </w:tc>
      </w:tr>
    </w:tbl>
    <w:bookmarkEnd w:id="12"/>
    <w:bookmarkStart w:id="16" w:name="金刚石"/>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金刚石</w:t>
      </w:r>
    </w:p>
    <w:p>
      <w:pPr>
        <w:pStyle w:val="FirstParagraph"/>
        <w:spacing w:after="80"/>
        <w:ind w:firstLine="420"/>
      </w:pPr>
      <w:r>
        <w:rPr>
          <w:rFonts w:hint="eastAsia" w:ascii="Times New Roman" w:hAnsi="Times New Roman" w:eastAsia="FangSong" w:cs="Times New Roman"/>
        </w:rPr>
        <w:t>金刚石是三维共价网状晶体的典型代表</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赋予了金刚石在室温下很高的热导率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石墨层结构</w:t>
            </w:r>
          </w:p>
        </w:tc>
      </w:tr>
      <w:tr>
        <w:tc>
          <w:tcPr/>
          <w:p>
            <w:pPr>
              <w:pStyle w:val="Compact"/>
              <w:jc w:val="center"/>
            </w:pPr>
            <w:r>
              <w:rPr>
                <w:rFonts w:ascii="Times New Roman" w:hAnsi="Times New Roman" w:eastAsia="Times New Roman" w:cs="Times New Roman"/>
              </w:rPr>
              <w:drawing>
                <wp:inline>
                  <wp:extent cx="2667000" cy="2463362"/>
                  <wp:effectExtent b="0" l="0" r="0" t="0"/>
                  <wp:docPr descr="" title="" id="14" name="Picture"/>
                  <a:graphic>
                    <a:graphicData uri="http://schemas.openxmlformats.org/drawingml/2006/picture">
                      <pic:pic>
                        <pic:nvPicPr>
                          <pic:cNvPr descr="f6e5ed8edce10a77b628eb6eef3bc803a029b31b716c0b86c6ca720b7f2c1698.jpg" id="15" name="Picture"/>
                          <pic:cNvPicPr>
                            <a:picLocks noChangeArrowheads="1" noChangeAspect="1"/>
                          </pic:cNvPicPr>
                        </pic:nvPicPr>
                        <pic:blipFill>
                          <a:blip r:embed="rId13"/>
                          <a:stretch>
                            <a:fillRect/>
                          </a:stretch>
                        </pic:blipFill>
                        <pic:spPr bwMode="auto">
                          <a:xfrm>
                            <a:off x="0" y="0"/>
                            <a:ext cx="2667000" cy="24633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石墨的层状六元环结构</w:t>
            </w:r>
          </w:p>
        </w:tc>
      </w:tr>
    </w:tbl>
    <w:bookmarkEnd w:id="16"/>
    <w:bookmarkStart w:id="20" w:name="石墨"/>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石墨</w:t>
      </w:r>
    </w:p>
    <w:p>
      <w:pPr>
        <w:pStyle w:val="FirstParagraph"/>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石墨采取混合键型的层状结构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60</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584715"/>
                  <wp:effectExtent b="0" l="0" r="0" t="0"/>
                  <wp:docPr descr="" title="" id="18" name="Picture"/>
                  <a:graphic>
                    <a:graphicData uri="http://schemas.openxmlformats.org/drawingml/2006/picture">
                      <pic:pic>
                        <pic:nvPicPr>
                          <pic:cNvPr descr="3efff61f9cb3bcc10ebb63b82cabcce63a41402ca2926a858c05eaf9161a8ce4.jpg" id="19" name="Picture"/>
                          <pic:cNvPicPr>
                            <a:picLocks noChangeArrowheads="1" noChangeAspect="1"/>
                          </pic:cNvPicPr>
                        </pic:nvPicPr>
                        <pic:blipFill>
                          <a:blip r:embed="rId17"/>
                          <a:stretch>
                            <a:fillRect/>
                          </a:stretch>
                        </pic:blipFill>
                        <pic:spPr bwMode="auto">
                          <a:xfrm>
                            <a:off x="0" y="0"/>
                            <a:ext cx="2667000" cy="25847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的截角二十面体骨架</w:t>
            </w:r>
          </w:p>
        </w:tc>
      </w:tr>
    </w:tbl>
    <w:bookmarkEnd w:id="20"/>
    <w:bookmarkStart w:id="21" w:name="富勒烯与孤立五元环规则"/>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富勒烯与孤立五元环规则</w:t>
      </w:r>
    </w:p>
    <w:p>
      <w:pPr>
        <w:pStyle w:val="FirstParagraph"/>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是零维笼状全碳分子的代表</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分子为截角二十面体构型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这称为</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21"/>
    <w:bookmarkEnd w:id="22"/>
    <w:bookmarkStart w:id="37"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bookmarkStart w:id="23" w:name="一氧化碳与二氧化碳概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一氧化碳与二氧化碳概述</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bookmarkEnd w:id="23"/>
    <w:bookmarkStart w:id="27" w:name="一氧化碳的成键与配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一氧化碳的成键与配位</w:t>
      </w:r>
    </w:p>
    <w:p>
      <w:pPr>
        <w:pStyle w:val="FirstParagraph"/>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在所有双原子分子中键能最高</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且偶极矩方向偶极矩方向反常</w:t>
      </w:r>
      <w:r>
        <w:rPr>
          <w:rFonts w:hint="eastAsia" w:ascii="Times New Roman" w:hAnsi="Times New Roman" w:eastAsia="Times New Roman" w:cs="Times New Roman"/>
        </w:rPr>
        <w:t>（</w:t>
      </w:r>
      <w:r>
        <w:rPr>
          <w:rFonts w:hint="eastAsia" w:ascii="Times New Roman" w:hAnsi="Times New Roman" w:eastAsia="FangSong" w:cs="Times New Roman"/>
        </w:rPr>
        <w:t>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双向反馈机理形成牢固的配位键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206510"/>
                  <wp:effectExtent b="0" l="0" r="0" t="0"/>
                  <wp:docPr descr="" title="" id="25" name="Picture"/>
                  <a:graphic>
                    <a:graphicData uri="http://schemas.openxmlformats.org/drawingml/2006/picture">
                      <pic:pic>
                        <pic:nvPicPr>
                          <pic:cNvPr descr="37ee95c5f40e7cad3dafca4b5be3a6cc8213c3cd34a16453130dd0b5c6105b3b.jpg" id="26" name="Picture"/>
                          <pic:cNvPicPr>
                            <a:picLocks noChangeArrowheads="1" noChangeAspect="1"/>
                          </pic:cNvPicPr>
                        </pic:nvPicPr>
                        <pic:blipFill>
                          <a:blip r:embed="rId24"/>
                          <a:stretch>
                            <a:fillRect/>
                          </a:stretch>
                        </pic:blipFill>
                        <pic:spPr bwMode="auto">
                          <a:xfrm>
                            <a:off x="0" y="0"/>
                            <a:ext cx="2667000" cy="22065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分子晶体的晶胞取向</w:t>
            </w:r>
          </w:p>
        </w:tc>
      </w:tr>
    </w:tbl>
    <w:bookmarkEnd w:id="27"/>
    <w:bookmarkStart w:id="34" w:name="二氧化碳的结构与相图"/>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二氧化碳的结构与相图</w:t>
      </w:r>
    </w:p>
    <w:p>
      <w:pPr>
        <w:pStyle w:val="FirstParagraph"/>
        <w:spacing w:after="80"/>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体现了分子晶体的紧密堆积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相图</w:t>
            </w:r>
          </w:p>
        </w:tc>
      </w:tr>
      <w:tr>
        <w:tc>
          <w:tcPr/>
          <w:p>
            <w:pPr>
              <w:pStyle w:val="Compact"/>
              <w:jc w:val="center"/>
            </w:pPr>
            <w:r>
              <w:rPr>
                <w:rFonts w:ascii="Times New Roman" w:hAnsi="Times New Roman" w:eastAsia="Times New Roman" w:cs="Times New Roman"/>
              </w:rPr>
              <w:drawing>
                <wp:inline>
                  <wp:extent cx="2667000" cy="2401801"/>
                  <wp:effectExtent b="0" l="0" r="0" t="0"/>
                  <wp:docPr descr="" title="" id="29" name="Picture"/>
                  <a:graphic>
                    <a:graphicData uri="http://schemas.openxmlformats.org/drawingml/2006/picture">
                      <pic:pic>
                        <pic:nvPicPr>
                          <pic:cNvPr descr="9c2b27a2d84bca20ad76aa62d281c7b35d8264d4063a3714742d17044e0dc20f.jpg" id="30" name="Picture"/>
                          <pic:cNvPicPr>
                            <a:picLocks noChangeArrowheads="1" noChangeAspect="1"/>
                          </pic:cNvPicPr>
                        </pic:nvPicPr>
                        <pic:blipFill>
                          <a:blip r:embed="rId28"/>
                          <a:stretch>
                            <a:fillRect/>
                          </a:stretch>
                        </pic:blipFill>
                        <pic:spPr bwMode="auto">
                          <a:xfrm>
                            <a:off x="0" y="0"/>
                            <a:ext cx="2667000" cy="24018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的温压相图与三相点</w:t>
            </w:r>
          </w:p>
        </w:tc>
      </w:tr>
    </w:tbl>
    <w:p>
      <w:pPr>
        <w:pStyle w:val="BodyText"/>
        <w:spacing w:before="120"/>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及超临界绿色合成化学的重要介质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562274"/>
                  <wp:effectExtent b="0" l="0" r="0" t="0"/>
                  <wp:docPr descr="" title="" id="32" name="Picture"/>
                  <a:graphic>
                    <a:graphicData uri="http://schemas.openxmlformats.org/drawingml/2006/picture">
                      <pic:pic>
                        <pic:nvPicPr>
                          <pic:cNvPr descr="4aac665f6acb5c6dd55e85e0dc41f85b2cd321a1b15111cf4f282109adb1340c.jpg" id="33" name="Picture"/>
                          <pic:cNvPicPr>
                            <a:picLocks noChangeArrowheads="1" noChangeAspect="1"/>
                          </pic:cNvPicPr>
                        </pic:nvPicPr>
                        <pic:blipFill>
                          <a:blip r:embed="rId31"/>
                          <a:stretch>
                            <a:fillRect/>
                          </a:stretch>
                        </pic:blipFill>
                        <pic:spPr bwMode="auto">
                          <a:xfrm>
                            <a:off x="0" y="0"/>
                            <a:ext cx="2667000" cy="2562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四方晶胞中乙炔根的取向</w:t>
            </w:r>
          </w:p>
        </w:tc>
      </w:tr>
    </w:tbl>
    <w:bookmarkEnd w:id="34"/>
    <w:bookmarkStart w:id="35" w:name="碳化物的三类及其水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碳化物的三类及其水解</w:t>
      </w:r>
    </w:p>
    <w:p>
      <w:pPr>
        <w:pStyle w:val="FirstParagraph"/>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三类碳化物的差异来自成键方式</w:t>
      </w:r>
      <w:r>
        <w:rPr>
          <w:rFonts w:hint="eastAsia" w:ascii="Times New Roman" w:hAnsi="Times New Roman" w:eastAsia="Times New Roman" w:cs="Times New Roman"/>
        </w:rPr>
        <w:t>：</w:t>
      </w:r>
      <w:r>
        <w:rPr>
          <w:rFonts w:hint="eastAsia" w:ascii="Times New Roman" w:hAnsi="Times New Roman" w:eastAsia="FangSong" w:cs="Times New Roman"/>
        </w:rPr>
        <w:t>离子型由小半径高电荷阳离子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与碳负离子构成</w:t>
      </w:r>
      <w:r>
        <w:rPr>
          <w:rFonts w:hint="eastAsia" w:ascii="Times New Roman" w:hAnsi="Times New Roman" w:eastAsia="Times New Roman" w:cs="Times New Roman"/>
        </w:rPr>
        <w:t>，</w:t>
      </w:r>
      <w:r>
        <w:rPr>
          <w:rFonts w:hint="eastAsia" w:ascii="Times New Roman" w:hAnsi="Times New Roman" w:eastAsia="FangSong" w:cs="Times New Roman"/>
        </w:rPr>
        <w:t>遇水定量水解生成烃</w:t>
      </w:r>
      <w:r>
        <w:rPr>
          <w:rFonts w:hint="eastAsia" w:ascii="Times New Roman" w:hAnsi="Times New Roman" w:eastAsia="Times New Roman" w:cs="Times New Roman"/>
        </w:rPr>
        <w:t>；</w:t>
      </w:r>
      <w:r>
        <w:rPr>
          <w:rFonts w:hint="eastAsia" w:ascii="Times New Roman" w:hAnsi="Times New Roman" w:eastAsia="FangSong" w:cs="Times New Roman"/>
        </w:rPr>
        <w:t>间隙型由半径大于约</w:t>
      </w:r>
      <w:r>
        <w:rPr>
          <w:rFonts w:ascii="Times New Roman" w:hAnsi="Times New Roman" w:eastAsia="Times New Roman" w:cs="Times New Roman"/>
        </w:rPr>
        <w:t xml:space="preserve"> </w:t>
      </w:r>
      <m:oMath>
        <m:r>
          <m:t>135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的过渡金属</w:t>
      </w:r>
      <w:r>
        <w:rPr>
          <w:rFonts w:hint="eastAsia" w:ascii="Times New Roman" w:hAnsi="Times New Roman" w:eastAsia="Times New Roman" w:cs="Times New Roman"/>
        </w:rPr>
        <w:t>（Ti、Zr、V、W</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碳原子填入金属密堆积的八面体间隙</w:t>
      </w:r>
      <w:r>
        <w:rPr>
          <w:rFonts w:hint="eastAsia" w:ascii="Times New Roman" w:hAnsi="Times New Roman" w:eastAsia="Times New Roman" w:cs="Times New Roman"/>
        </w:rPr>
        <w:t>，</w:t>
      </w:r>
      <w:r>
        <w:rPr>
          <w:rFonts w:hint="eastAsia" w:ascii="Times New Roman" w:hAnsi="Times New Roman" w:eastAsia="FangSong" w:cs="Times New Roman"/>
        </w:rPr>
        <w:t>熔点常在</w:t>
      </w:r>
      <w:r>
        <w:rPr>
          <w:rFonts w:ascii="Times New Roman" w:hAnsi="Times New Roman" w:eastAsia="Times New Roman" w:cs="Times New Roman"/>
        </w:rPr>
        <w:t xml:space="preserve"> </w:t>
      </w:r>
      <m:oMath>
        <m:oMathPr>
          <m:ctrlPr>
            <w:rPr>
              <w:sz w:val="28"/>
              <w:szCs w:val="28"/>
            </w:rPr>
          </m:ctrlPr>
        </m:oMathPr>
        <m:r>
          <m:t>3000</m:t>
        </m:r>
        <m:r>
          <m:rPr>
            <m:sty m:val="p"/>
          </m:rPr>
          <m:t>∼</m:t>
        </m:r>
        <m:r>
          <m:t>4000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不与水反应</w:t>
      </w:r>
      <w:r>
        <w:rPr>
          <w:rFonts w:hint="eastAsia" w:ascii="Times New Roman" w:hAnsi="Times New Roman" w:eastAsia="Times New Roman" w:cs="Times New Roman"/>
        </w:rPr>
        <w:t>，</w:t>
      </w:r>
      <m:oMath>
        <m:r>
          <m:rPr>
            <m:sty m:val="p"/>
          </m:rPr>
          <m:t>W</m:t>
        </m:r>
        <m:r>
          <m:rPr>
            <m:sty m:val="p"/>
          </m:rPr>
          <m:t>C</m:t>
        </m:r>
      </m:oMath>
      <w:r>
        <w:rPr>
          <w:rFonts w:ascii="Times New Roman" w:hAnsi="Times New Roman" w:eastAsia="Times New Roman" w:cs="Times New Roman"/>
        </w:rPr>
        <w:t xml:space="preserve">、</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用作高速切削刀具</w:t>
      </w:r>
      <w:r>
        <w:rPr>
          <w:rFonts w:hint="eastAsia" w:ascii="Times New Roman" w:hAnsi="Times New Roman" w:eastAsia="Times New Roman" w:cs="Times New Roman"/>
        </w:rPr>
        <w:t>。</w:t>
      </w:r>
    </w:p>
    <w:bookmarkEnd w:id="35"/>
    <w:bookmarkStart w:id="36" w:name="碳酸盐与碳酸氢盐"/>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碳酸盐与碳酸氢盐</w:t>
      </w:r>
    </w:p>
    <w:p>
      <w:pPr>
        <w:pStyle w:val="FirstParagraph"/>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36"/>
    <w:bookmarkEnd w:id="37"/>
    <w:bookmarkStart w:id="58"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bookmarkStart w:id="41" w:name="硅的亲氧性与四氯化硅水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硅的亲氧性与四氯化硅水解</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的键能高达</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硅表现出很强的亲氧性</w:t>
      </w:r>
      <w:r>
        <w:rPr>
          <w:rFonts w:hint="eastAsia" w:ascii="Times New Roman" w:hAnsi="Times New Roman" w:eastAsia="Times New Roman" w:cs="Times New Roman"/>
        </w:rPr>
        <w:t>（Oxophilicity）：</w:t>
      </w:r>
      <w:r>
        <w:rPr>
          <w:rFonts w:hint="eastAsia" w:ascii="Times New Roman" w:hAnsi="Times New Roman" w:eastAsia="FangSong" w:cs="Times New Roman"/>
        </w:rPr>
        <w:t>硅不倾向于形成长链硅硅骨架或分立的多重键</w:t>
      </w:r>
      <w:r>
        <w:rPr>
          <w:rFonts w:hint="eastAsia" w:ascii="Times New Roman" w:hAnsi="Times New Roman" w:eastAsia="Times New Roman" w:cs="Times New Roman"/>
        </w:rPr>
        <w:t>，</w:t>
      </w:r>
      <w:r>
        <w:rPr>
          <w:rFonts w:hint="eastAsia" w:ascii="Times New Roman" w:hAnsi="Times New Roman" w:eastAsia="FangSong" w:cs="Times New Roman"/>
        </w:rPr>
        <w:t>而是自发地收敛于以牢固的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为基本结构单元的三维无机硅酸盐共价大网络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在水中常温常压下完全不水解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石英对比</w:t>
            </w:r>
          </w:p>
        </w:tc>
      </w:tr>
      <w:tr>
        <w:tc>
          <w:tcPr/>
          <w:p>
            <w:pPr>
              <w:pStyle w:val="Compact"/>
              <w:jc w:val="center"/>
            </w:pPr>
            <w:r>
              <w:rPr>
                <w:rFonts w:ascii="Times New Roman" w:hAnsi="Times New Roman" w:eastAsia="Times New Roman" w:cs="Times New Roman"/>
              </w:rPr>
              <w:drawing>
                <wp:inline>
                  <wp:extent cx="2667000" cy="1636480"/>
                  <wp:effectExtent b="0" l="0" r="0" t="0"/>
                  <wp:docPr descr="" title="" id="39" name="Picture"/>
                  <a:graphic>
                    <a:graphicData uri="http://schemas.openxmlformats.org/drawingml/2006/picture">
                      <pic:pic>
                        <pic:nvPicPr>
                          <pic:cNvPr descr="27ac9342a844791755cc810d5d1d429942a710567fd4c89f0083268d01b8ae27.png" id="40" name="Picture"/>
                          <pic:cNvPicPr>
                            <a:picLocks noChangeArrowheads="1" noChangeAspect="1"/>
                          </pic:cNvPicPr>
                        </pic:nvPicPr>
                        <pic:blipFill>
                          <a:blip r:embed="rId38"/>
                          <a:stretch>
                            <a:fillRect/>
                          </a:stretch>
                        </pic:blipFill>
                        <pic:spPr bwMode="auto">
                          <a:xfrm>
                            <a:off x="0" y="0"/>
                            <a:ext cx="2667000" cy="1636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石英晶体与石英玻璃的拓扑对比</w:t>
            </w:r>
          </w:p>
        </w:tc>
      </w:tr>
    </w:tbl>
    <w:bookmarkEnd w:id="41"/>
    <w:bookmarkStart w:id="45" w:name="二氧化硅与石英玻璃"/>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二氧化硅与石英玻璃</w:t>
      </w:r>
    </w:p>
    <w:p>
      <w:pPr>
        <w:pStyle w:val="FirstParagraph"/>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与分子晶体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硅酸结构</w:t>
            </w:r>
          </w:p>
        </w:tc>
      </w:tr>
      <w:tr>
        <w:tc>
          <w:tcPr/>
          <w:p>
            <w:pPr>
              <w:pStyle w:val="Compact"/>
              <w:jc w:val="center"/>
            </w:pPr>
            <w:r>
              <w:rPr>
                <w:rFonts w:ascii="Times New Roman" w:hAnsi="Times New Roman" w:eastAsia="Times New Roman" w:cs="Times New Roman"/>
              </w:rPr>
              <w:drawing>
                <wp:inline>
                  <wp:extent cx="2667000" cy="869900"/>
                  <wp:effectExtent b="0" l="0" r="0" t="0"/>
                  <wp:docPr descr="" title="" id="43" name="Picture"/>
                  <a:graphic>
                    <a:graphicData uri="http://schemas.openxmlformats.org/drawingml/2006/picture">
                      <pic:pic>
                        <pic:nvPicPr>
                          <pic:cNvPr descr="4dc16a2dd81ebf68fd20f8d08d77951303d65cf1d1c590c0b0fe8efdd6fd49bb.jpg" id="44" name="Picture"/>
                          <pic:cNvPicPr>
                            <a:picLocks noChangeArrowheads="1" noChangeAspect="1"/>
                          </pic:cNvPicPr>
                        </pic:nvPicPr>
                        <pic:blipFill>
                          <a:blip r:embed="rId42"/>
                          <a:stretch>
                            <a:fillRect/>
                          </a:stretch>
                        </pic:blipFill>
                        <pic:spPr bwMode="auto">
                          <a:xfrm>
                            <a:off x="0" y="0"/>
                            <a:ext cx="2667000" cy="8699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偏硅酸与链状偏硅酸根的结构对比</w:t>
            </w:r>
          </w:p>
        </w:tc>
      </w:tr>
    </w:tbl>
    <w:bookmarkEnd w:id="45"/>
    <w:bookmarkStart w:id="49" w:name="硅酸盐的分类"/>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硅酸盐的分类</w:t>
      </w:r>
    </w:p>
    <w:p>
      <w:pPr>
        <w:pStyle w:val="FirstParagraph"/>
        <w:spacing w:after="80"/>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层状硅酸盐</w:t>
            </w:r>
          </w:p>
        </w:tc>
      </w:tr>
      <w:tr>
        <w:tc>
          <w:tcPr/>
          <w:p>
            <w:pPr>
              <w:pStyle w:val="Compact"/>
              <w:jc w:val="center"/>
            </w:pPr>
            <w:r>
              <w:rPr>
                <w:rFonts w:ascii="Times New Roman" w:hAnsi="Times New Roman" w:eastAsia="Times New Roman" w:cs="Times New Roman"/>
              </w:rPr>
              <w:drawing>
                <wp:inline>
                  <wp:extent cx="2667000" cy="2731943"/>
                  <wp:effectExtent b="0" l="0" r="0" t="0"/>
                  <wp:docPr descr="" title="" id="47" name="Picture"/>
                  <a:graphic>
                    <a:graphicData uri="http://schemas.openxmlformats.org/drawingml/2006/picture">
                      <pic:pic>
                        <pic:nvPicPr>
                          <pic:cNvPr descr="0547a4cb0dafb62ee1f93e9ea5064cfcf662616cf23a40b7c29b532faede98e9.jpg" id="48" name="Picture"/>
                          <pic:cNvPicPr>
                            <a:picLocks noChangeArrowheads="1" noChangeAspect="1"/>
                          </pic:cNvPicPr>
                        </pic:nvPicPr>
                        <pic:blipFill>
                          <a:blip r:embed="rId46"/>
                          <a:stretch>
                            <a:fillRect/>
                          </a:stretch>
                        </pic:blipFill>
                        <pic:spPr bwMode="auto">
                          <a:xfrm>
                            <a:off x="0" y="0"/>
                            <a:ext cx="2667000" cy="2731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层状硅酸盐的六元环网格与云母</w:t>
            </w:r>
          </w:p>
        </w:tc>
      </w:tr>
    </w:tbl>
    <w:bookmarkEnd w:id="49"/>
    <w:bookmarkStart w:id="56" w:name="层状硅酸盐与云母"/>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层状硅酸盐与云母</w:t>
      </w:r>
    </w:p>
    <w:p>
      <w:pPr>
        <w:pStyle w:val="FirstParagraph"/>
        <w:spacing w:after="80"/>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型沸石</w:t>
            </w:r>
          </w:p>
        </w:tc>
        <w:tc>
          <w:tcPr>
            <w:tcBorders>
              <w:bottom w:val="single" w:sz="6" w:space="0" w:color="333333"/>
            </w:tcBorders>
          </w:tcPr>
          <w:p>
            <w:pPr>
              <w:pStyle w:val="Compact"/>
              <w:jc w:val="center"/>
            </w:pPr>
            <w:r>
              <w:rPr>
                <w:rFonts w:ascii="Times New Roman" w:hAnsi="Times New Roman" w:eastAsia="Times New Roman" w:cs="Times New Roman"/>
                <w:b/>
              </w:rPr>
              <w:t xml:space="preserve">LTA </w:t>
            </w:r>
            <w:r>
              <w:rPr>
                <w:rFonts w:hint="eastAsia" w:ascii="Times New Roman" w:hAnsi="Times New Roman" w:eastAsia="SimHei" w:cs="Times New Roman"/>
                <w:b/>
              </w:rPr>
              <w:t xml:space="preserve">分子筛</w:t>
            </w:r>
          </w:p>
        </w:tc>
      </w:tr>
      <w:tr>
        <w:tc>
          <w:tcPr/>
          <w:p>
            <w:pPr>
              <w:pStyle w:val="Compact"/>
              <w:jc w:val="center"/>
            </w:pPr>
            <w:r>
              <w:rPr>
                <w:rFonts w:ascii="Times New Roman" w:hAnsi="Times New Roman" w:eastAsia="Times New Roman" w:cs="Times New Roman"/>
              </w:rPr>
              <w:drawing>
                <wp:inline>
                  <wp:extent cx="2667000" cy="1437836"/>
                  <wp:effectExtent b="0" l="0" r="0" t="0"/>
                  <wp:docPr descr="" title="" id="51" name="Picture"/>
                  <a:graphic>
                    <a:graphicData uri="http://schemas.openxmlformats.org/drawingml/2006/picture">
                      <pic:pic>
                        <pic:nvPicPr>
                          <pic:cNvPr descr="20211d9b1030337618ae6820cb223515015e7850b4fdfa2bb6cf8d894ec827bb.png" id="52" name="Picture"/>
                          <pic:cNvPicPr>
                            <a:picLocks noChangeArrowheads="1" noChangeAspect="1"/>
                          </pic:cNvPicPr>
                        </pic:nvPicPr>
                        <pic:blipFill>
                          <a:blip r:embed="rId50"/>
                          <a:stretch>
                            <a:fillRect/>
                          </a:stretch>
                        </pic:blipFill>
                        <pic:spPr bwMode="auto">
                          <a:xfrm>
                            <a:off x="0" y="0"/>
                            <a:ext cx="2667000" cy="14378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0319"/>
                  <wp:effectExtent b="0" l="0" r="0" t="0"/>
                  <wp:docPr descr="" title="" id="54" name="Picture"/>
                  <a:graphic>
                    <a:graphicData uri="http://schemas.openxmlformats.org/drawingml/2006/picture">
                      <pic:pic>
                        <pic:nvPicPr>
                          <pic:cNvPr descr="0e57953cd1dea2b31a83e9b724c006675016988c296a65b8ae67819fe263891e.jpg" id="55" name="Picture"/>
                          <pic:cNvPicPr>
                            <a:picLocks noChangeArrowheads="1" noChangeAspect="1"/>
                          </pic:cNvPicPr>
                        </pic:nvPicPr>
                        <pic:blipFill>
                          <a:blip r:embed="rId53"/>
                          <a:stretch>
                            <a:fillRect/>
                          </a:stretch>
                        </pic:blipFill>
                        <pic:spPr bwMode="auto">
                          <a:xfrm>
                            <a:off x="0" y="0"/>
                            <a:ext cx="2667000" cy="23403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型沸石的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超笼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3-11：LTA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型分子筛的骨架与超笼孔道</w:t>
            </w:r>
          </w:p>
        </w:tc>
      </w:tr>
    </w:tbl>
    <w:bookmarkEnd w:id="56"/>
    <w:bookmarkStart w:id="57" w:name="沸石分子筛"/>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沸石分子筛</w:t>
      </w:r>
    </w:p>
    <w:p>
      <w:pPr>
        <w:pStyle w:val="FirstParagraph"/>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57"/>
    <w:bookmarkEnd w:id="58"/>
    <w:bookmarkStart w:id="68"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bookmarkStart w:id="59" w:name="惰性电子对效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其原因是相对论效应导致的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的热力学稳定性明显更高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少见且具有强还原性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的热力学稳定性已旗鼓相当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则退化为亚稳且具有强氧化活性的高能价态</w:t>
      </w:r>
      <w:r>
        <w:rPr>
          <w:rFonts w:hint="eastAsia" w:ascii="Times New Roman" w:hAnsi="Times New Roman" w:eastAsia="Times New Roman" w:cs="Times New Roman"/>
        </w:rPr>
        <w:t>。</w:t>
      </w:r>
    </w:p>
    <w:bookmarkEnd w:id="59"/>
    <w:bookmarkStart w:id="60" w:name="惰性电子对的相对论成因"/>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惰性电子对的相对论成因</w:t>
      </w:r>
    </w:p>
    <w:p>
      <w:pPr>
        <w:pStyle w:val="FirstParagraph"/>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使铅原子的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电子对被紧束缚在核附近</w:t>
      </w:r>
      <w:r>
        <w:rPr>
          <w:rFonts w:hint="eastAsia" w:ascii="Times New Roman" w:hAnsi="Times New Roman" w:eastAsia="Times New Roman" w:cs="Times New Roman"/>
        </w:rPr>
        <w:t>，</w:t>
      </w:r>
      <w:r>
        <w:rPr>
          <w:rFonts w:hint="eastAsia" w:ascii="Times New Roman" w:hAnsi="Times New Roman" w:eastAsia="FangSong" w:cs="Times New Roman"/>
        </w:rPr>
        <w:t>有效电离能显著升高</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呈现出鲜明的对峙</w:t>
      </w:r>
      <w:r>
        <w:rPr>
          <w:rFonts w:hint="eastAsia" w:ascii="Times New Roman" w:hAnsi="Times New Roman" w:eastAsia="Times New Roman" w:cs="Times New Roman"/>
        </w:rPr>
        <w:t>：</w:t>
      </w:r>
    </w:p>
    <w:bookmarkEnd w:id="60"/>
    <w:bookmarkStart w:id="61" w:name="snii-的还原性"/>
    <w:p>
      <w:pPr>
        <w:pStyle w:val="Heading3"/>
        <w:spacing w:before="280" w:after="120"/>
      </w:pPr>
      <w:r>
        <w:rPr>
          <w:rFonts w:ascii="Times New Roman" w:hAnsi="Times New Roman" w:eastAsia="Times New Roman" w:cs="Times New Roman"/>
        </w:rPr>
        <w:t xml:space="preserve">4.3 Sn(II) </w:t>
      </w:r>
      <w:r>
        <w:rPr>
          <w:rFonts w:hint="eastAsia" w:ascii="Times New Roman" w:hAnsi="Times New Roman" w:eastAsia="SimHei" w:cs="Times New Roman"/>
        </w:rPr>
        <w:t xml:space="preserve">的还原性</w:t>
      </w:r>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此反应构成了经典分析化学中互相鉴别锡或汞离子的特征反应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需注意两个问题</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bookmarkEnd w:id="61"/>
    <w:bookmarkStart w:id="62" w:name="pbiv-的氧化性"/>
    <w:p>
      <w:pPr>
        <w:pStyle w:val="Heading3"/>
        <w:spacing w:before="280" w:after="120"/>
      </w:pPr>
      <w:r>
        <w:rPr>
          <w:rFonts w:ascii="Times New Roman" w:hAnsi="Times New Roman" w:eastAsia="Times New Roman" w:cs="Times New Roman"/>
        </w:rPr>
        <w:t xml:space="preserve">4.4 Pb(IV) </w:t>
      </w:r>
      <w:r>
        <w:rPr>
          <w:rFonts w:hint="eastAsia" w:ascii="Times New Roman" w:hAnsi="Times New Roman" w:eastAsia="SimHei" w:cs="Times New Roman"/>
        </w:rPr>
        <w:t xml:space="preserve">的氧化性</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bookmarkEnd w:id="62"/>
    <w:bookmarkStart w:id="66" w:name="混合价氧化物-pb₃o₄"/>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混合价氧化物</w:t>
      </w:r>
      <w:r>
        <w:rPr>
          <w:rFonts w:ascii="Times New Roman" w:hAnsi="Times New Roman" w:eastAsia="Times New Roman" w:cs="Times New Roman"/>
        </w:rPr>
        <w:t xml:space="preserve"> 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spacing w:after="80"/>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这是判断混合价态氧化物中价态构成的经典实例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SnO / PbO</w:t>
            </w:r>
          </w:p>
        </w:tc>
      </w:tr>
      <w:tr>
        <w:tc>
          <w:tcPr/>
          <w:p>
            <w:pPr>
              <w:pStyle w:val="Compact"/>
              <w:jc w:val="center"/>
            </w:pPr>
            <w:r>
              <w:rPr>
                <w:rFonts w:ascii="Times New Roman" w:hAnsi="Times New Roman" w:eastAsia="Times New Roman" w:cs="Times New Roman"/>
              </w:rPr>
              <w:drawing>
                <wp:inline>
                  <wp:extent cx="2667000" cy="1470393"/>
                  <wp:effectExtent b="0" l="0" r="0" t="0"/>
                  <wp:docPr descr="" title="" id="64" name="Picture"/>
                  <a:graphic>
                    <a:graphicData uri="http://schemas.openxmlformats.org/drawingml/2006/picture">
                      <pic:pic>
                        <pic:nvPicPr>
                          <pic:cNvPr descr="a8bdc74df3f8d4fe27290dff2bcae7e804fa7d72310271e30afecac16b7d4b10.png" id="65" name="Picture"/>
                          <pic:cNvPicPr>
                            <a:picLocks noChangeArrowheads="1" noChangeAspect="1"/>
                          </pic:cNvPicPr>
                        </pic:nvPicPr>
                        <pic:blipFill>
                          <a:blip r:embed="rId63"/>
                          <a:stretch>
                            <a:fillRect/>
                          </a:stretch>
                        </pic:blipFill>
                        <pic:spPr bwMode="auto">
                          <a:xfrm>
                            <a:off x="0" y="0"/>
                            <a:ext cx="2667000" cy="147039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3-12：SnO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中的立体活性孤对电子</w:t>
            </w:r>
          </w:p>
        </w:tc>
      </w:tr>
    </w:tbl>
    <w:p>
      <w:pPr>
        <w:pStyle w:val="BodyText"/>
        <w:spacing w:before="120"/>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ascii="Times New Roman" w:hAnsi="Times New Roman" w:eastAsia="Times New Roman" w:cs="Times New Roman"/>
        </w:rPr>
        <w:t xml:space="preserve"> 4.6 </w:t>
      </w:r>
      <w:r>
        <w:rPr>
          <w:rFonts w:hint="eastAsia" w:ascii="Times New Roman" w:hAnsi="Times New Roman" w:eastAsia="FangSong" w:cs="Times New Roman"/>
        </w:rPr>
        <w:t xml:space="preserve">立体化学活性的孤对电子</w:t>
      </w:r>
    </w:p>
    <w:p>
      <w:pPr>
        <w:pStyle w:val="BodyText"/>
        <w:ind w:firstLine="420"/>
      </w:pPr>
      <w:r>
        <w:rPr>
          <w:rFonts w:hint="eastAsia" w:ascii="Times New Roman" w:hAnsi="Times New Roman" w:eastAsia="FangSong" w:cs="Times New Roman"/>
        </w:rPr>
        <w:t xml:space="preserve">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中子衍射与高精度电子云密度计算揭示了一个显著的立体化学事实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向四角锥顶点外侧凸出</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66"/>
    <w:bookmarkStart w:id="67" w:name="碳族反应方程式速查"/>
    <w:p>
      <w:pPr>
        <w:pStyle w:val="Heading3"/>
        <w:spacing w:after="120" w:before="280"/>
      </w:pPr>
      <w:r>
        <w:rPr>
          <w:rFonts w:ascii="Times New Roman" w:hAnsi="Times New Roman" w:eastAsia="Times New Roman" w:cs="Times New Roman"/>
        </w:rPr>
        <w:t xml:space="preserve">4.7 </w:t>
      </w:r>
      <w:r>
        <w:rPr>
          <w:rFonts w:hint="eastAsia" w:ascii="Times New Roman" w:hAnsi="Times New Roman" w:eastAsia="SimHei" w:cs="Times New Roman"/>
        </w:rPr>
        <w:t xml:space="preserve">碳族反应方程式速查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硅与强碱</w:t>
            </w:r>
          </w:p>
        </w:tc>
        <w:tc>
          <w:tcPr/>
          <w:p>
            <w:pPr>
              <w:pStyle w:val="Compact"/>
              <w:jc w:val="center"/>
            </w:pPr>
            <m:oMath>
              <m:r>
                <m:rPr>
                  <m:sty m:val="p"/>
                </m:rPr>
                <m:t>S</m:t>
              </m:r>
              <m:r>
                <m:rPr>
                  <m:sty m:val="p"/>
                </m:rPr>
                <m:t>i</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二氧化硅与氢氟酸</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二氧化硅与碳酸钠共熔</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四氯化硅水解</w:t>
            </w:r>
          </w:p>
        </w:tc>
        <w:tc>
          <w:tcPr/>
          <w:p>
            <w:pPr>
              <w:pStyle w:val="Compact"/>
              <w:jc w:val="center"/>
            </w:p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碳化铝水解</w:t>
            </w:r>
          </w:p>
        </w:tc>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二氧化碳通入石灰水</w:t>
            </w:r>
          </w:p>
        </w:tc>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碳酸钙溶蚀</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碳酸氢钠受热</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Fe(III)</w:t>
            </w:r>
          </w:p>
        </w:tc>
        <w:tc>
          <w:tcPr/>
          <w:p>
            <w:pPr>
              <w:pStyle w:val="Compact"/>
              <w:jc w:val="center"/>
            </w:pPr>
            <m:oMath>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p>
        </w:tc>
        <w:tc>
          <w:tcPr/>
          <w:p>
            <w:pPr>
              <w:pStyle w:val="Compact"/>
              <w:jc w:val="center"/>
            </w:pPr>
            <m:oMath>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Mn(II)</w:t>
            </w:r>
          </w:p>
        </w:tc>
        <w:tc>
          <w:tcPr/>
          <w:p>
            <w:pPr>
              <w:pStyle w:val="Compact"/>
              <w:jc w:val="center"/>
            </w:pPr>
            <m:oMath>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铅丹与稀硝酸</w:t>
            </w:r>
          </w:p>
        </w:tc>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铅蓄电池放电</w:t>
            </w:r>
          </w:p>
        </w:tc>
        <w:tc>
          <w:tcPr/>
          <w:p>
            <w:pPr>
              <w:pStyle w:val="Compact"/>
              <w:jc w:val="center"/>
            </w:pPr>
            <m:oMath>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67"/>
    <w:bookmarkEnd w:id="68"/>
    <w:bookmarkStart w:id="82"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bookmarkStart w:id="72" w:name="缺电子化学与多中心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缺电子化学与多中心键</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这一族在化学历史上以缺电子化合物著称</w:t>
      </w:r>
      <w:r>
        <w:rPr>
          <w:rFonts w:hint="eastAsia" w:ascii="Times New Roman" w:hAnsi="Times New Roman" w:eastAsia="Times New Roman" w:cs="Times New Roman"/>
        </w:rPr>
        <w:t>，</w:t>
      </w:r>
      <w:r>
        <w:rPr>
          <w:rFonts w:hint="eastAsia" w:ascii="Times New Roman" w:hAnsi="Times New Roman" w:eastAsia="FangSong" w:cs="Times New Roman"/>
        </w:rPr>
        <w:t>它突破了传统</w:t>
      </w:r>
      <w:r>
        <w:rPr>
          <w:rFonts w:ascii="Times New Roman" w:hAnsi="Times New Roman" w:eastAsia="Times New Roman" w:cs="Times New Roman"/>
        </w:rPr>
        <w:t xml:space="preserve"> Lewis </w:t>
      </w:r>
      <w:r>
        <w:rPr>
          <w:rFonts w:hint="eastAsia" w:ascii="Times New Roman" w:hAnsi="Times New Roman" w:eastAsia="FangSong" w:cs="Times New Roman"/>
        </w:rPr>
        <w:t>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共价键的框架</w:t>
      </w:r>
      <w:r>
        <w:rPr>
          <w:rFonts w:hint="eastAsia" w:ascii="Times New Roman" w:hAnsi="Times New Roman" w:eastAsia="Times New Roman" w:cs="Times New Roman"/>
        </w:rPr>
        <w:t>，</w:t>
      </w:r>
      <w:r>
        <w:rPr>
          <w:rFonts w:hint="eastAsia" w:ascii="Times New Roman" w:hAnsi="Times New Roman" w:eastAsia="FangSong" w:cs="Times New Roman"/>
        </w:rPr>
        <w:t>建立起多中心键体系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为补足电子</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构筑出庞大的硼烷原子簇网络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二十面体</w:t>
            </w:r>
          </w:p>
        </w:tc>
      </w:tr>
      <w:tr>
        <w:tc>
          <w:tcPr/>
          <w:p>
            <w:pPr>
              <w:pStyle w:val="Compact"/>
              <w:jc w:val="center"/>
            </w:pPr>
            <w:r>
              <w:rPr>
                <w:rFonts w:ascii="Times New Roman" w:hAnsi="Times New Roman" w:eastAsia="Times New Roman" w:cs="Times New Roman"/>
              </w:rPr>
              <w:drawing>
                <wp:inline>
                  <wp:extent cx="2667000" cy="2894670"/>
                  <wp:effectExtent b="0" l="0" r="0" t="0"/>
                  <wp:docPr descr="" title="" id="70" name="Picture"/>
                  <a:graphic>
                    <a:graphicData uri="http://schemas.openxmlformats.org/drawingml/2006/picture">
                      <pic:pic>
                        <pic:nvPicPr>
                          <pic:cNvPr descr="873cbe75eb3febf36d01f2dec2ee98bdf5d4ec3a688469ba12e1355be002ec44.jpg" id="71" name="Picture"/>
                          <pic:cNvPicPr>
                            <a:picLocks noChangeArrowheads="1" noChangeAspect="1"/>
                          </pic:cNvPicPr>
                        </pic:nvPicPr>
                        <pic:blipFill>
                          <a:blip r:embed="rId69"/>
                          <a:stretch>
                            <a:fillRect/>
                          </a:stretch>
                        </pic:blipFill>
                        <pic:spPr bwMode="auto">
                          <a:xfrm>
                            <a:off x="0" y="0"/>
                            <a:ext cx="2667000" cy="2894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二十面体</w:t>
            </w:r>
          </w:p>
        </w:tc>
      </w:tr>
    </w:tbl>
    <w:bookmarkEnd w:id="72"/>
    <w:bookmarkStart w:id="79" w:name="单质硼的-b₁₂-二十面体"/>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SimHei" w:cs="Times New Roman"/>
        </w:rPr>
        <w:t xml:space="preserve">二十面体</w:t>
      </w:r>
    </w:p>
    <w:p>
      <w:pPr>
        <w:pStyle w:val="FirstParagraph"/>
        <w:spacing w:after="80"/>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通过三中心两电子键与多中心离域轨道结合</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与仅次于金刚石的显著硬度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w:t>
            </w:r>
          </w:p>
        </w:tc>
      </w:tr>
      <w:tr>
        <w:tc>
          <w:tcPr/>
          <w:p>
            <w:pPr>
              <w:pStyle w:val="Compact"/>
              <w:jc w:val="center"/>
            </w:pPr>
            <w:r>
              <w:rPr>
                <w:rFonts w:ascii="Times New Roman" w:hAnsi="Times New Roman" w:eastAsia="Times New Roman" w:cs="Times New Roman"/>
              </w:rPr>
              <w:drawing>
                <wp:inline>
                  <wp:extent cx="2667000" cy="1658101"/>
                  <wp:effectExtent b="0" l="0" r="0" t="0"/>
                  <wp:docPr descr="" title="" id="74" name="Picture"/>
                  <a:graphic>
                    <a:graphicData uri="http://schemas.openxmlformats.org/drawingml/2006/picture">
                      <pic:pic>
                        <pic:nvPicPr>
                          <pic:cNvPr descr="8c42f36410e8e37837e8ea15bd6ea12e9b7dfbcc8ea8597c2183c4519507c39b.jpg" id="75" name="Picture"/>
                          <pic:cNvPicPr>
                            <a:picLocks noChangeArrowheads="1" noChangeAspect="1"/>
                          </pic:cNvPicPr>
                        </pic:nvPicPr>
                        <pic:blipFill>
                          <a:blip r:embed="rId73"/>
                          <a:stretch>
                            <a:fillRect/>
                          </a:stretch>
                        </pic:blipFill>
                        <pic:spPr bwMode="auto">
                          <a:xfrm>
                            <a:off x="0" y="0"/>
                            <a:ext cx="2667000" cy="165810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1142"/>
                  <wp:effectExtent b="0" l="0" r="0" t="0"/>
                  <wp:docPr descr="" title="" id="77" name="Picture"/>
                  <a:graphic>
                    <a:graphicData uri="http://schemas.openxmlformats.org/drawingml/2006/picture">
                      <pic:pic>
                        <pic:nvPicPr>
                          <pic:cNvPr descr="8203710cb0f11b53222a04500250e92bbb67961ab7d7c0bf8468755f4859e4ce.jpg" id="78" name="Picture"/>
                          <pic:cNvPicPr>
                            <a:picLocks noChangeArrowheads="1" noChangeAspect="1"/>
                          </pic:cNvPicPr>
                        </pic:nvPicPr>
                        <pic:blipFill>
                          <a:blip r:embed="rId76"/>
                          <a:stretch>
                            <a:fillRect/>
                          </a:stretch>
                        </pic:blipFill>
                        <pic:spPr bwMode="auto">
                          <a:xfrm>
                            <a:off x="0" y="0"/>
                            <a:ext cx="2667000" cy="177114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的双桥氢结构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桥氢分子轨道</w:t>
            </w:r>
          </w:p>
        </w:tc>
      </w:tr>
    </w:tbl>
    <w:bookmarkEnd w:id="79"/>
    <w:bookmarkStart w:id="80" w:name="乙硼烷的三中心两电子桥键"/>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乙硼烷的三中心两电子桥键</w:t>
      </w:r>
    </w:p>
    <w:p>
      <w:pPr>
        <w:pStyle w:val="FirstParagraph"/>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早期曾误以为它类似乙烷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电子云跨越两个硼原子分布</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乙硼烷在醚类溶剂中解离为甲硼烷</w:t>
      </w:r>
      <w:r>
        <w:rPr>
          <w:rFonts w:hint="eastAsia" w:ascii="Times New Roman" w:hAnsi="Times New Roman" w:eastAsia="Times New Roman" w:cs="Times New Roman"/>
        </w:rPr>
        <w:t>，</w:t>
      </w:r>
      <w:r>
        <w:rPr>
          <w:rFonts w:hint="eastAsia" w:ascii="Times New Roman" w:hAnsi="Times New Roman" w:eastAsia="FangSong" w:cs="Times New Roman"/>
        </w:rPr>
        <w:t>进而与烯烃发生</w:t>
      </w:r>
      <w:r>
        <w:rPr>
          <w:rFonts w:hint="eastAsia" w:ascii="Times New Roman" w:hAnsi="Times New Roman" w:eastAsia="FangSong" w:cs="Times New Roman"/>
          <w:b/>
          <w:bCs/>
        </w:rPr>
        <w:t xml:space="preserve">硼氢化反应</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T</m:t>
        </m:r>
        <m:r>
          <m:rPr>
            <m:sty m:val="p"/>
          </m:rPr>
          <m:t>H</m:t>
        </m:r>
        <m:r>
          <m:rPr>
            <m:sty m:val="p"/>
          </m:rPr>
          <m:t>F</m:t>
        </m:r>
        <m:r>
          <m:rPr>
            <m:sty m:val="p"/>
          </m:rPr>
          <m:t>⇌</m:t>
        </m:r>
        <m:r>
          <m:rPr>
            <m:sty m:val="p"/>
          </m:rPr>
          <m:t>2</m:t>
        </m: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B—H </w:t>
      </w:r>
      <w:r>
        <w:rPr>
          <w:rFonts w:hint="eastAsia" w:ascii="Times New Roman" w:hAnsi="Times New Roman" w:eastAsia="FangSong" w:cs="Times New Roman"/>
        </w:rPr>
        <w:t>键中的氢带部分负电荷</w:t>
      </w:r>
      <w:r>
        <w:rPr>
          <w:rFonts w:hint="eastAsia" w:ascii="Times New Roman" w:hAnsi="Times New Roman" w:eastAsia="Times New Roman" w:cs="Times New Roman"/>
        </w:rPr>
        <w:t>（</w:t>
      </w:r>
      <w:r>
        <w:rPr>
          <w:rFonts w:hint="eastAsia" w:ascii="Times New Roman" w:hAnsi="Times New Roman" w:eastAsia="FangSong" w:cs="Times New Roman"/>
        </w:rPr>
        <w:t>硼的电负性小于氢</w:t>
      </w:r>
      <w:r>
        <w:rPr>
          <w:rFonts w:hint="eastAsia" w:ascii="Times New Roman" w:hAnsi="Times New Roman" w:eastAsia="Times New Roman" w:cs="Times New Roman"/>
        </w:rPr>
        <w:t>），</w:t>
      </w:r>
      <w:r>
        <w:rPr>
          <w:rFonts w:hint="eastAsia" w:ascii="Times New Roman" w:hAnsi="Times New Roman" w:eastAsia="FangSong" w:cs="Times New Roman"/>
        </w:rPr>
        <w:t>硼优先加到取代基较少的碳上</w:t>
      </w:r>
      <w:r>
        <w:rPr>
          <w:rFonts w:hint="eastAsia" w:ascii="Times New Roman" w:hAnsi="Times New Roman" w:eastAsia="Times New Roman" w:cs="Times New Roman"/>
        </w:rPr>
        <w:t>，</w:t>
      </w:r>
      <w:r>
        <w:rPr>
          <w:rFonts w:hint="eastAsia" w:ascii="Times New Roman" w:hAnsi="Times New Roman" w:eastAsia="FangSong" w:cs="Times New Roman"/>
        </w:rPr>
        <w:t>得到反马氏加成产物且为顺式加成</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氧化即可由烯烃制得伯醇</w:t>
      </w:r>
      <w:r>
        <w:rPr>
          <w:rFonts w:hint="eastAsia" w:ascii="Times New Roman" w:hAnsi="Times New Roman" w:eastAsia="Times New Roman" w:cs="Times New Roman"/>
        </w:rPr>
        <w:t>。</w:t>
      </w:r>
    </w:p>
    <w:bookmarkEnd w:id="80"/>
    <w:bookmarkStart w:id="81" w:name="硼烷的闭式巢式网式分类"/>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硼烷的闭式</w:t>
      </w:r>
      <w:r>
        <w:rPr>
          <w:rFonts w:hint="eastAsia" w:ascii="Times New Roman" w:hAnsi="Times New Roman" w:eastAsia="Times New Roman" w:cs="Times New Roman"/>
        </w:rPr>
        <w:t>—</w:t>
      </w:r>
      <w:r>
        <w:rPr>
          <w:rFonts w:hint="eastAsia" w:ascii="Times New Roman" w:hAnsi="Times New Roman" w:eastAsia="SimHei" w:cs="Times New Roman"/>
        </w:rPr>
        <w:t>巢式</w:t>
      </w:r>
      <w:r>
        <w:rPr>
          <w:rFonts w:hint="eastAsia" w:ascii="Times New Roman" w:hAnsi="Times New Roman" w:eastAsia="Times New Roman" w:cs="Times New Roman"/>
        </w:rPr>
        <w:t>—</w:t>
      </w:r>
      <w:r>
        <w:rPr>
          <w:rFonts w:hint="eastAsia" w:ascii="Times New Roman" w:hAnsi="Times New Roman" w:eastAsia="SimHei" w:cs="Times New Roman"/>
        </w:rPr>
        <w:t>网式分类</w:t>
      </w:r>
    </w:p>
    <w:p>
      <w:pPr>
        <w:pStyle w:val="FirstParagraph"/>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81"/>
    <w:bookmarkEnd w:id="82"/>
    <w:bookmarkStart w:id="98"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bookmarkStart w:id="83" w:name="缺电子的三种补偿方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缺电子的三种补偿方式</w:t>
      </w:r>
    </w:p>
    <w:p>
      <w:pPr>
        <w:pStyle w:val="FirstParagraph"/>
        <w:ind w:firstLine="420"/>
      </w:pPr>
      <w:r>
        <w:rPr>
          <w:rFonts w:hint="eastAsia" w:ascii="Times New Roman" w:hAnsi="Times New Roman" w:eastAsia="FangSong" w:cs="Times New Roman"/>
        </w:rPr>
        <w:t>缺电子化合物要补足电子以达到八隅律闭壳层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3"/>
    <w:bookmarkStart w:id="87" w:name="硼酸的结构与路易斯酸性"/>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硼酸的结构与路易斯酸性</w:t>
      </w:r>
    </w:p>
    <w:p>
      <w:pPr>
        <w:pStyle w:val="FirstParagraph"/>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是第二种补偿机制的典型实例</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其酸性的实质是路易斯酸性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硼酸螯合</w:t>
            </w:r>
          </w:p>
        </w:tc>
      </w:tr>
      <w:tr>
        <w:tc>
          <w:tcPr/>
          <w:p>
            <w:pPr>
              <w:pStyle w:val="Compact"/>
              <w:jc w:val="center"/>
            </w:pPr>
            <w:r>
              <w:rPr>
                <w:rFonts w:ascii="Times New Roman" w:hAnsi="Times New Roman" w:eastAsia="Times New Roman" w:cs="Times New Roman"/>
              </w:rPr>
              <w:drawing>
                <wp:inline>
                  <wp:extent cx="2667000" cy="362504"/>
                  <wp:effectExtent b="0" l="0" r="0" t="0"/>
                  <wp:docPr descr="" title="" id="85" name="Picture"/>
                  <a:graphic>
                    <a:graphicData uri="http://schemas.openxmlformats.org/drawingml/2006/picture">
                      <pic:pic>
                        <pic:nvPicPr>
                          <pic:cNvPr descr="63ab9705e46dd07cabf0890e710d6799d4e94bfa2539f4c851d4cb123f07c53e.jpg" id="86" name="Picture"/>
                          <pic:cNvPicPr>
                            <a:picLocks noChangeArrowheads="1" noChangeAspect="1"/>
                          </pic:cNvPicPr>
                        </pic:nvPicPr>
                        <pic:blipFill>
                          <a:blip r:embed="rId84"/>
                          <a:stretch>
                            <a:fillRect/>
                          </a:stretch>
                        </pic:blipFill>
                        <pic:spPr bwMode="auto">
                          <a:xfrm>
                            <a:off x="0" y="0"/>
                            <a:ext cx="2667000" cy="3625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邻二醇强化硼酸酸性的原理</w:t>
            </w:r>
          </w:p>
        </w:tc>
      </w:tr>
    </w:tbl>
    <w:bookmarkEnd w:id="87"/>
    <w:bookmarkStart w:id="88" w:name="多元醇强化与硼酸的滴定"/>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多元醇强化与硼酸的滴定</w:t>
      </w:r>
    </w:p>
    <w:p>
      <w:pPr>
        <w:pStyle w:val="FirstParagraph"/>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顺式邻二醇分子中处于同侧的两个醇羟基氧原子能与硼原子发生双齿螯合脱水反应</w:t>
      </w:r>
      <w:r>
        <w:rPr>
          <w:rFonts w:hint="eastAsia" w:ascii="Times New Roman" w:hAnsi="Times New Roman" w:eastAsia="Times New Roman" w:cs="Times New Roman"/>
        </w:rPr>
        <w:t>，</w:t>
      </w:r>
      <w:r>
        <w:rPr>
          <w:rFonts w:hint="eastAsia" w:ascii="Times New Roman" w:hAnsi="Times New Roman" w:eastAsia="FangSong" w:cs="Times New Roman"/>
        </w:rPr>
        <w:t>形成稳定的五元螺环双二元醇硼酸螯合酸阴离子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螯合配位反应带来有利的结合自由能与熵变</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使得螯合酸根的生成平衡常数显著增大数万倍以上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成为经典容量分析测定硼元素的判据</w:t>
      </w:r>
      <w:r>
        <w:rPr>
          <w:rFonts w:hint="eastAsia" w:ascii="Times New Roman" w:hAnsi="Times New Roman" w:eastAsia="Times New Roman" w:cs="Times New Roman"/>
        </w:rPr>
        <w:t>。</w:t>
      </w:r>
    </w:p>
    <w:bookmarkEnd w:id="88"/>
    <w:bookmarkStart w:id="92" w:name="硼砂的结构与硼砂珠实验"/>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硼砂的结构与硼砂珠实验</w:t>
      </w:r>
    </w:p>
    <w:p>
      <w:pPr>
        <w:pStyle w:val="FirstParagraph"/>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反馈键</w:t>
            </w:r>
          </w:p>
        </w:tc>
      </w:tr>
      <w:tr>
        <w:tc>
          <w:tcPr/>
          <w:p>
            <w:pPr>
              <w:pStyle w:val="Compact"/>
              <w:jc w:val="center"/>
            </w:pPr>
            <w:r>
              <w:rPr>
                <w:rFonts w:ascii="Times New Roman" w:hAnsi="Times New Roman" w:eastAsia="Times New Roman" w:cs="Times New Roman"/>
              </w:rPr>
              <w:drawing>
                <wp:inline>
                  <wp:extent cx="2667000" cy="1181524"/>
                  <wp:effectExtent b="0" l="0" r="0" t="0"/>
                  <wp:docPr descr="" title="" id="90" name="Picture"/>
                  <a:graphic>
                    <a:graphicData uri="http://schemas.openxmlformats.org/drawingml/2006/picture">
                      <pic:pic>
                        <pic:nvPicPr>
                          <pic:cNvPr descr="1a23633cf952c33a7d32cb4b71d0af79dd342d4b696e7f240ed1f986d5e7c4a0.png" id="91" name="Picture"/>
                          <pic:cNvPicPr>
                            <a:picLocks noChangeArrowheads="1" noChangeAspect="1"/>
                          </pic:cNvPicPr>
                        </pic:nvPicPr>
                        <pic:blipFill>
                          <a:blip r:embed="rId89"/>
                          <a:stretch>
                            <a:fillRect/>
                          </a:stretch>
                        </pic:blipFill>
                        <pic:spPr bwMode="auto">
                          <a:xfrm>
                            <a:off x="0" y="0"/>
                            <a:ext cx="2667000" cy="118152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反馈键</w:t>
            </w:r>
          </w:p>
        </w:tc>
      </w:tr>
    </w:tbl>
    <w:bookmarkEnd w:id="92"/>
    <w:bookmarkStart w:id="96" w:name="卤化硼的路易斯酸性顺序"/>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卤化硼的路易斯酸性顺序</w:t>
      </w:r>
    </w:p>
    <w:p>
      <w:pPr>
        <w:pStyle w:val="FirstParagraph"/>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键的形成出现路易斯酸性的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分子轨道分析可以解释这一反常现象</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而且很大程度上缓解了硼原子的缺电子程度</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键并损失一部分离域能</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轨道在空间重叠积分呈显著归零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且中心硼原子仍高度缺电子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的路易斯酸性反而强于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立方氮化硼</w:t>
            </w:r>
          </w:p>
        </w:tc>
      </w:tr>
      <w:tr>
        <w:tc>
          <w:tcPr/>
          <w:p>
            <w:pPr>
              <w:pStyle w:val="Compact"/>
              <w:jc w:val="center"/>
            </w:pPr>
            <w:r>
              <w:rPr>
                <w:rFonts w:ascii="Times New Roman" w:hAnsi="Times New Roman" w:eastAsia="Times New Roman" w:cs="Times New Roman"/>
              </w:rPr>
              <w:drawing>
                <wp:inline>
                  <wp:extent cx="2667000" cy="2156732"/>
                  <wp:effectExtent b="0" l="0" r="0" t="0"/>
                  <wp:docPr descr="" title="" id="94" name="Picture"/>
                  <a:graphic>
                    <a:graphicData uri="http://schemas.openxmlformats.org/drawingml/2006/picture">
                      <pic:pic>
                        <pic:nvPicPr>
                          <pic:cNvPr descr="b695705be186e24a86213af3c4d42109b2f81d56bd76b6f7314f43d500956255.jpg" id="95" name="Picture"/>
                          <pic:cNvPicPr>
                            <a:picLocks noChangeArrowheads="1" noChangeAspect="1"/>
                          </pic:cNvPicPr>
                        </pic:nvPicPr>
                        <pic:blipFill>
                          <a:blip r:embed="rId93"/>
                          <a:stretch>
                            <a:fillRect/>
                          </a:stretch>
                        </pic:blipFill>
                        <pic:spPr bwMode="auto">
                          <a:xfrm>
                            <a:off x="0" y="0"/>
                            <a:ext cx="2667000" cy="21567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立方氮化硼的闪锌矿型晶胞</w:t>
            </w:r>
          </w:p>
        </w:tc>
      </w:tr>
    </w:tbl>
    <w:bookmarkEnd w:id="96"/>
    <w:bookmarkStart w:id="97" w:name="氮化硼与金刚石的类比"/>
    <w:p>
      <w:pPr>
        <w:pStyle w:val="Heading3"/>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氮化硼与金刚石的类比</w:t>
      </w:r>
    </w:p>
    <w:p>
      <w:pPr>
        <w:pStyle w:val="FirstParagraph"/>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BN </w:t>
      </w:r>
      <w:r>
        <w:rPr>
          <w:rFonts w:hint="eastAsia" w:ascii="Times New Roman" w:hAnsi="Times New Roman" w:eastAsia="FangSong" w:cs="Times New Roman"/>
        </w:rPr>
        <w:t>的结构可与碳的同素异形体一一对应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97"/>
    <w:bookmarkEnd w:id="98"/>
    <w:bookmarkStart w:id="107"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bookmarkStart w:id="99" w:name="铝的亲氧性与铝热反应"/>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铝的亲氧性与铝热反应</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氧化物与氢氧化物展现出富有代表性的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温度可达</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生成熔融的金属铁</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bookmarkEnd w:id="99"/>
    <w:bookmarkStart w:id="103" w:name="氧化铝与氢氧化铝的两性"/>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氧化铝与氢氧化铝的两性</w:t>
      </w:r>
    </w:p>
    <w:p>
      <w:pPr>
        <w:pStyle w:val="FirstParagraph"/>
        <w:spacing w:after="80"/>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Cl</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drawing>
                <wp:inline>
                  <wp:extent cx="2667000" cy="1585586"/>
                  <wp:effectExtent b="0" l="0" r="0" t="0"/>
                  <wp:docPr descr="" title="" id="101" name="Picture"/>
                  <a:graphic>
                    <a:graphicData uri="http://schemas.openxmlformats.org/drawingml/2006/picture">
                      <pic:pic>
                        <pic:nvPicPr>
                          <pic:cNvPr descr="f17db7bdb9b9bd51da5ab21e8b6852fe7593ba9c4be42e2786ba902818e6993c.jpg" id="102" name="Picture"/>
                          <pic:cNvPicPr>
                            <a:picLocks noChangeArrowheads="1" noChangeAspect="1"/>
                          </pic:cNvPicPr>
                        </pic:nvPicPr>
                        <pic:blipFill>
                          <a:blip r:embed="rId100"/>
                          <a:stretch>
                            <a:fillRect/>
                          </a:stretch>
                        </pic:blipFill>
                        <pic:spPr bwMode="auto">
                          <a:xfrm>
                            <a:off x="0" y="0"/>
                            <a:ext cx="2667000" cy="15855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的双四面体共棱结构</w:t>
            </w:r>
          </w:p>
        </w:tc>
      </w:tr>
    </w:tbl>
    <w:bookmarkEnd w:id="103"/>
    <w:bookmarkStart w:id="104" w:name="氯化铝的双聚与相变"/>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氯化铝的双聚与相变</w:t>
      </w:r>
    </w:p>
    <w:p>
      <w:pPr>
        <w:pStyle w:val="FirstParagraph"/>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烷基化与酰基化反应的常用催化剂</w:t>
      </w:r>
      <w:r>
        <w:rPr>
          <w:rFonts w:hint="eastAsia" w:ascii="Times New Roman" w:hAnsi="Times New Roman" w:eastAsia="Times New Roman" w:cs="Times New Roman"/>
        </w:rPr>
        <w:t>。</w:t>
      </w:r>
    </w:p>
    <w:bookmarkEnd w:id="104"/>
    <w:bookmarkStart w:id="105" w:name="bsi-与-beal-的对角线相似性"/>
    <w:p>
      <w:pPr>
        <w:pStyle w:val="Heading3"/>
        <w:spacing w:before="280" w:after="120"/>
      </w:pPr>
      <w:r>
        <w:rPr>
          <w:rFonts w:ascii="Times New Roman" w:hAnsi="Times New Roman" w:eastAsia="Times New Roman" w:cs="Times New Roman"/>
        </w:rPr>
        <w:t xml:space="preserve">7.4 B—Si </w:t>
      </w:r>
      <w:r>
        <w:rPr>
          <w:rFonts w:hint="eastAsia" w:ascii="Times New Roman" w:hAnsi="Times New Roman" w:eastAsia="SimHei" w:cs="Times New Roman"/>
        </w:rPr>
        <w:t xml:space="preserve">与</w:t>
      </w:r>
      <w:r>
        <w:rPr>
          <w:rFonts w:ascii="Times New Roman" w:hAnsi="Times New Roman" w:eastAsia="Times New Roman" w:cs="Times New Roman"/>
        </w:rPr>
        <w:t xml:space="preserve"> Be—Al </w:t>
      </w:r>
      <w:r>
        <w:rPr>
          <w:rFonts w:hint="eastAsia" w:ascii="Times New Roman" w:hAnsi="Times New Roman" w:eastAsia="SimHei" w:cs="Times New Roman"/>
        </w:rPr>
        <w:t xml:space="preserve">的对角线相似性</w:t>
      </w:r>
    </w:p>
    <w:p>
      <w:pPr>
        <w:pStyle w:val="FirstParagraph"/>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铍与铝</w:t>
      </w:r>
      <w:r>
        <w:rPr>
          <w:rFonts w:hint="eastAsia" w:ascii="Times New Roman" w:hAnsi="Times New Roman" w:eastAsia="Times New Roman" w:cs="Times New Roman"/>
        </w:rPr>
        <w:t>（Be-Al）</w:t>
      </w:r>
      <w:r>
        <w:rPr>
          <w:rFonts w:hint="eastAsia" w:ascii="Times New Roman" w:hAnsi="Times New Roman" w:eastAsia="FangSong" w:cs="Times New Roman"/>
        </w:rPr>
        <w:t>之间表现明显</w:t>
      </w:r>
      <w:r>
        <w:rPr>
          <w:rFonts w:hint="eastAsia" w:ascii="Times New Roman" w:hAnsi="Times New Roman" w:eastAsia="Times New Roman" w:cs="Times New Roman"/>
        </w:rPr>
        <w:t>。</w:t>
      </w:r>
      <w:r>
        <w:rPr>
          <w:rFonts w:hint="eastAsia" w:ascii="Times New Roman" w:hAnsi="Times New Roman" w:eastAsia="FangSong" w:cs="Times New Roman"/>
        </w:rPr>
        <w:t>对角线规则的成因在于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的显著相似性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对角线规则反映了离子势与电荷密度相近所带来的行为相似性</w:t>
      </w:r>
      <w:r>
        <w:rPr>
          <w:rFonts w:hint="eastAsia" w:ascii="Times New Roman" w:hAnsi="Times New Roman" w:eastAsia="Times New Roman" w:cs="Times New Roman"/>
        </w:rPr>
        <w:t>。</w:t>
      </w:r>
    </w:p>
    <w:bookmarkEnd w:id="105"/>
    <w:bookmarkStart w:id="106" w:name="硼族反应方程式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硼族反应方程式速查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硼与强碱</w:t>
            </w:r>
          </w:p>
        </w:tc>
        <w:tc>
          <w:tcPr/>
          <w:p>
            <w:pPr>
              <w:pStyle w:val="Compact"/>
              <w:jc w:val="center"/>
            </w:pPr>
            <m:oMath>
              <m:r>
                <m:rPr>
                  <m:sty m:val="p"/>
                </m:rPr>
                <m:t>2</m:t>
              </m:r>
              <m:r>
                <m:rPr>
                  <m:sty m:val="p"/>
                </m:rPr>
                <m:t>B</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硼与浓硝酸</w:t>
            </w:r>
          </w:p>
        </w:tc>
        <w:tc>
          <w:tcPr/>
          <w:p>
            <w:pPr>
              <w:pStyle w:val="Compact"/>
              <w:jc w:val="center"/>
            </w:pPr>
            <m:oMath>
              <m:r>
                <m:rPr>
                  <m:sty m:val="p"/>
                </m:rPr>
                <m:t>B</m:t>
              </m:r>
              <m:r>
                <m:rPr>
                  <m:sty m:val="p"/>
                </m:rPr>
                <m:t>+</m:t>
              </m:r>
              <m:r>
                <m:rPr>
                  <m:sty m:val="p"/>
                </m:rPr>
                <m:t>3</m:t>
              </m:r>
              <m:r>
                <m:rPr>
                  <m:sty m:val="p"/>
                </m:rPr>
                <m:t>H</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硼酸的电离</w:t>
            </w:r>
          </w:p>
        </w:tc>
        <w:tc>
          <w:tcPr/>
          <w:p>
            <w:pPr>
              <w:pStyle w:val="Compact"/>
              <w:jc w:val="center"/>
            </w:p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硼砂脱水</w:t>
            </w:r>
          </w:p>
        </w:tc>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limUpp>
                <m:e>
                  <m:r>
                    <m:rPr>
                      <m:sty m:val="p"/>
                    </m:rPr>
                    <m:t>→</m:t>
                  </m:r>
                </m:e>
                <m:lim>
                  <m:r>
                    <m:rPr>
                      <m:sty m:val="p"/>
                    </m:rPr>
                    <m:t>Δ</m:t>
                  </m:r>
                </m:lim>
              </m:limUpp>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乙硼烷水解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乙硼烷氨解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w:t>
            </w:r>
          </w:p>
        </w:tc>
        <w:tc>
          <w:tcPr/>
          <w:p>
            <w:pPr>
              <w:pStyle w:val="Compact"/>
              <w:jc w:val="center"/>
            </w:pPr>
            <m:oMath>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三氟化硼加合</w:t>
            </w:r>
          </w:p>
        </w:tc>
        <w:tc>
          <w:tcPr/>
          <w:p>
            <w:pPr>
              <w:pStyle w:val="Compact"/>
              <w:jc w:val="center"/>
            </w:p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铝热反应</w:t>
            </w:r>
          </w:p>
        </w:tc>
        <w:tc>
          <w:tcPr/>
          <w:p>
            <w:pPr>
              <w:pStyle w:val="Compact"/>
              <w:jc w:val="center"/>
            </w:pPr>
            <m:oMath>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铝与强碱</w:t>
            </w:r>
          </w:p>
        </w:tc>
        <w:tc>
          <w:tcPr/>
          <w:p>
            <w:pPr>
              <w:pStyle w:val="Compact"/>
              <w:jc w:val="center"/>
            </w:pPr>
            <m:oMath>
              <m:r>
                <m:rPr>
                  <m:sty m:val="p"/>
                </m:rPr>
                <m:t>2</m:t>
              </m:r>
              <m:r>
                <m:rPr>
                  <m:sty m:val="p"/>
                </m:rPr>
                <m:t>A</m:t>
              </m:r>
              <m:r>
                <m:rPr>
                  <m:sty m:val="p"/>
                </m:rPr>
                <m:t>l</m:t>
              </m:r>
              <m:r>
                <m:rPr>
                  <m:sty m:val="p"/>
                </m:rPr>
                <m:t>+</m:t>
              </m:r>
              <m:r>
                <m:rPr>
                  <m:sty m:val="p"/>
                </m:rPr>
                <m:t>2</m:t>
              </m:r>
              <m:r>
                <m:rPr>
                  <m:sty m:val="p"/>
                </m:rPr>
                <m:t>N</m:t>
              </m:r>
              <m:r>
                <m:rPr>
                  <m:sty m:val="p"/>
                </m:rPr>
                <m:t>a</m:t>
              </m:r>
              <m:r>
                <m:rPr>
                  <m:sty m:val="p"/>
                </m:rPr>
                <m:t>O</m:t>
              </m:r>
              <m:r>
                <m:rPr>
                  <m:sty m:val="p"/>
                </m:rPr>
                <m:t>H</m:t>
              </m:r>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氢氧化铝两性</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电解制铝</w:t>
            </w:r>
          </w:p>
        </w:tc>
        <w:tc>
          <w:tcPr/>
          <w:p>
            <w:pPr>
              <w:pStyle w:val="Compact"/>
              <w:jc w:val="center"/>
            </w:pPr>
            <m:oMath>
              <m:r>
                <m:rPr>
                  <m:sty m:val="p"/>
                </m:rPr>
                <m:t>2</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4</m:t>
              </m:r>
              <m:r>
                <m:rPr>
                  <m:sty m:val="p"/>
                </m:rPr>
                <m:t>A</m:t>
              </m:r>
              <m:r>
                <m:rPr>
                  <m:sty m:val="p"/>
                </m:rPr>
                <m:t>l</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冰晶石熔融电解</w:t>
            </w:r>
            <w:r>
              <w:rPr>
                <w:rFonts w:hint="eastAsia" w:ascii="Times New Roman" w:hAnsi="Times New Roman" w:eastAsia="Times New Roman" w:cs="Times New Roman"/>
              </w:rPr>
              <w:t>）</w:t>
            </w:r>
          </w:p>
        </w:tc>
      </w:tr>
    </w:tbl>
    <w:bookmarkEnd w:id="106"/>
    <w:bookmarkEnd w:id="107"/>
    <w:bookmarkStart w:id="10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p>
      <w:pPr>
        <w:pStyle w:val="BodyText"/>
      </w:pPr>
    </w:p>
    <w:bookmarkEnd w:id="10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53" Type="http://schemas.openxmlformats.org/officeDocument/2006/relationships/image" Target="media/rId53.jpg"/><Relationship Id="rId89" Type="http://schemas.openxmlformats.org/officeDocument/2006/relationships/image" Target="media/rId89.png"/><Relationship Id="rId50" Type="http://schemas.openxmlformats.org/officeDocument/2006/relationships/image" Target="media/rId50.png"/><Relationship Id="rId38" Type="http://schemas.openxmlformats.org/officeDocument/2006/relationships/image" Target="media/rId38.png"/><Relationship Id="rId24" Type="http://schemas.openxmlformats.org/officeDocument/2006/relationships/image" Target="media/rId24.jpg"/><Relationship Id="rId17" Type="http://schemas.openxmlformats.org/officeDocument/2006/relationships/image" Target="media/rId17.jpg"/><Relationship Id="rId31" Type="http://schemas.openxmlformats.org/officeDocument/2006/relationships/image" Target="media/rId31.jpg"/><Relationship Id="rId42" Type="http://schemas.openxmlformats.org/officeDocument/2006/relationships/image" Target="media/rId42.jpg"/><Relationship Id="rId84" Type="http://schemas.openxmlformats.org/officeDocument/2006/relationships/image" Target="media/rId84.jpg"/><Relationship Id="rId76" Type="http://schemas.openxmlformats.org/officeDocument/2006/relationships/image" Target="media/rId76.jpg"/><Relationship Id="rId69" Type="http://schemas.openxmlformats.org/officeDocument/2006/relationships/image" Target="media/rId69.jpg"/><Relationship Id="rId73" Type="http://schemas.openxmlformats.org/officeDocument/2006/relationships/image" Target="media/rId73.jpg"/><Relationship Id="rId28" Type="http://schemas.openxmlformats.org/officeDocument/2006/relationships/image" Target="media/rId28.jpg"/><Relationship Id="rId63" Type="http://schemas.openxmlformats.org/officeDocument/2006/relationships/image" Target="media/rId63.png"/><Relationship Id="rId93" Type="http://schemas.openxmlformats.org/officeDocument/2006/relationships/image" Target="media/rId93.jpg"/><Relationship Id="rId9" Type="http://schemas.openxmlformats.org/officeDocument/2006/relationships/image" Target="media/rId9.jpg"/><Relationship Id="rId100" Type="http://schemas.openxmlformats.org/officeDocument/2006/relationships/image" Target="media/rId100.jp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2026-09-30T07:19:04Z</dcterms:created>
  <dcterms:modified xsi:type="dcterms:W3CDTF">2026-09-30T07:19:04Z</dcterms:modified>
</cp:coreProperties>
</file>

<file path=docProps/custom.xml><?xml version="1.0" encoding="utf-8"?>
<Properties xmlns="http://schemas.openxmlformats.org/officeDocument/2006/custom-properties" xmlns:vt="http://schemas.openxmlformats.org/officeDocument/2006/docPropsVTypes"/>
</file>