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bookmarkStart w:id="9" w:name="第一过渡系的价态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第一过渡系的价态特征</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bookmarkEnd w:id="9"/>
    <w:bookmarkStart w:id="10" w:name="多价态的成键根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多价态的成键根源</w:t>
      </w:r>
    </w:p>
    <w:p>
      <w:pPr>
        <w:pStyle w:val="FirstParagraph"/>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bookmarkEnd w:id="10"/>
    <w:bookmarkStart w:id="11" w:name="三条可用于推断的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三条可用于推断的递变规律</w:t>
      </w:r>
    </w:p>
    <w:p>
      <w:pPr>
        <w:pStyle w:val="FirstParagraph"/>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bookmarkEnd w:id="11"/>
    <w:bookmarkStart w:id="12" w:name="颜色的两种来源"/>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颜色的两种来源</w:t>
      </w:r>
    </w:p>
    <w:p>
      <w:pPr>
        <w:pStyle w:val="FirstParagraph"/>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12"/>
    <w:bookmarkEnd w:id="13"/>
    <w:bookmarkStart w:id="2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bookmarkStart w:id="14" w:name="热力学活泼与动力学钝化的矛盾"/>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热力学活泼与动力学钝化的矛盾</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bookmarkEnd w:id="14"/>
    <w:bookmarkStart w:id="15" w:name="钛的价态与紫色信号"/>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钛的价态与紫色信号</w:t>
      </w:r>
    </w:p>
    <w:p>
      <w:pPr>
        <w:pStyle w:val="FirstParagraph"/>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bookmarkEnd w:id="15"/>
    <w:bookmarkStart w:id="16" w:name="表面钝化与破膜溶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表面钝化与破膜溶解</w:t>
      </w:r>
    </w:p>
    <w:p>
      <w:pPr>
        <w:pStyle w:val="FirstParagraph"/>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bookmarkEnd w:id="16"/>
    <w:bookmarkStart w:id="17" w:name="氯化镁热还原冶炼路线"/>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氯化</w:t>
      </w:r>
      <w:r>
        <w:rPr>
          <w:rFonts w:hint="eastAsia" w:ascii="Times New Roman" w:hAnsi="Times New Roman" w:eastAsia="Times New Roman" w:cs="Times New Roman"/>
        </w:rPr>
        <w:t>—</w:t>
      </w:r>
      <w:r>
        <w:rPr>
          <w:rFonts w:hint="eastAsia" w:ascii="Times New Roman" w:hAnsi="Times New Roman" w:eastAsia="SimHei" w:cs="Times New Roman"/>
        </w:rPr>
        <w:t>镁热还原冶炼路线</w:t>
      </w:r>
    </w:p>
    <w:p>
      <w:pPr>
        <w:pStyle w:val="FirstParagraph"/>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bookmarkEnd w:id="17"/>
    <w:bookmarkStart w:id="21" w:name="二氧化钛与四氯化钛"/>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二氧化钛与四氯化钛</w:t>
      </w:r>
    </w:p>
    <w:p>
      <w:pPr>
        <w:pStyle w:val="FirstParagraph"/>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spacing w:after="80"/>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金红石型</w:t>
            </w:r>
            <w:r>
              <w:rPr>
                <w:rFonts w:ascii="Times New Roman" w:hAnsi="Times New Roman" w:eastAsia="Times New Roman" w:cs="Times New Roman"/>
                <w:b/>
              </w:rPr>
              <w:t xml:space="preserve"> TiO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824789"/>
                  <wp:effectExtent b="0" l="0" r="0" t="0"/>
                  <wp:docPr descr="" title="" id="19" name="Picture"/>
                  <a:graphic>
                    <a:graphicData uri="http://schemas.openxmlformats.org/drawingml/2006/picture">
                      <pic:pic>
                        <pic:nvPicPr>
                          <pic:cNvPr descr="8e0f112f90a5e68eabcc1f954ab833ca7d16bbeb76523b0f93eb63a0958d7bde.png" id="20" name="Picture"/>
                          <pic:cNvPicPr>
                            <a:picLocks noChangeArrowheads="1" noChangeAspect="1"/>
                          </pic:cNvPicPr>
                        </pic:nvPicPr>
                        <pic:blipFill>
                          <a:blip r:embed="rId18"/>
                          <a:stretch>
                            <a:fillRect/>
                          </a:stretch>
                        </pic:blipFill>
                        <pic:spPr bwMode="auto">
                          <a:xfrm>
                            <a:off x="0" y="0"/>
                            <a:ext cx="2667000" cy="1824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灰球为钛</w:t>
            </w:r>
            <w:r>
              <w:rPr>
                <w:rFonts w:hint="eastAsia" w:ascii="Times New Roman" w:hAnsi="Times New Roman" w:eastAsia="Times New Roman" w:cs="Times New Roman"/>
              </w:rPr>
              <w:t>、</w:t>
            </w:r>
            <w:r>
              <w:rPr>
                <w:rFonts w:hint="eastAsia" w:ascii="Times New Roman" w:hAnsi="Times New Roman" w:eastAsia="FangSong" w:cs="Times New Roman"/>
              </w:rPr>
              <w:t>红球为氧</w:t>
            </w:r>
            <w:r>
              <w:rPr>
                <w:rFonts w:hint="eastAsia" w:ascii="Times New Roman" w:hAnsi="Times New Roman" w:eastAsia="Times New Roman" w:cs="Times New Roman"/>
              </w:rPr>
              <w:t>，</w:t>
            </w:r>
            <w:r>
              <w:rPr>
                <w:rFonts w:hint="eastAsia" w:ascii="Times New Roman" w:hAnsi="Times New Roman" w:eastAsia="FangSong" w:cs="Times New Roman"/>
              </w:rPr>
              <w:t>钛为六配位</w:t>
            </w:r>
            <w:r>
              <w:rPr>
                <w:rFonts w:hint="eastAsia" w:ascii="Times New Roman" w:hAnsi="Times New Roman" w:eastAsia="Times New Roman" w:cs="Times New Roman"/>
              </w:rPr>
              <w:t>）</w:t>
            </w:r>
          </w:p>
        </w:tc>
      </w:tr>
    </w:tbl>
    <w:bookmarkEnd w:id="21"/>
    <w:bookmarkStart w:id="22" w:name="钛与硅的相似性"/>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钛与硅的相似性</w:t>
      </w:r>
    </w:p>
    <w:p>
      <w:pPr>
        <w:pStyle w:val="FirstParagraph"/>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2"/>
    <w:bookmarkStart w:id="23" w:name="钛的反应速查"/>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钛的反应速查</w:t>
      </w:r>
    </w:p>
    <w:p>
      <w:pPr>
        <w:pStyle w:val="FirstParagraph"/>
        <w:ind w:firstLine="420"/>
      </w:pPr>
      <w:r>
        <w:rPr>
          <w:rFonts w:ascii="Times New Roman" w:hAnsi="Times New Roman" w:eastAsia="Times New Roman" w:cs="Times New Roman"/>
        </w:rPr>
        <w:t xml:space="preserve">T1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T2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气相氧化法制钛白粉</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T3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T4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镁热还原制海绵钛</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T5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钛的定性检验与比色分析</w:t>
      </w:r>
      <w:r>
        <w:rPr>
          <w:rFonts w:ascii="Times New Roman" w:hAnsi="Times New Roman" w:eastAsia="Times New Roman" w:cs="Times New Roman"/>
        </w:rPr>
        <w:t xml:space="preserve"> |</w:t>
      </w:r>
    </w:p>
    <w:bookmarkEnd w:id="23"/>
    <w:bookmarkEnd w:id="24"/>
    <w:bookmarkStart w:id="33"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bookmarkStart w:id="25" w:name="多价态颜色序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多价态颜色序列</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bookmarkEnd w:id="25"/>
    <w:bookmarkStart w:id="29" w:name="latimer-图与两条判据"/>
    <w:p>
      <w:pPr>
        <w:pStyle w:val="Heading3"/>
        <w:spacing w:before="280" w:after="120"/>
      </w:pPr>
      <w:r>
        <w:rPr>
          <w:rFonts w:ascii="Times New Roman" w:hAnsi="Times New Roman" w:eastAsia="Times New Roman" w:cs="Times New Roman"/>
        </w:rPr>
        <w:t xml:space="preserve">3.2 Latimer </w:t>
      </w:r>
      <w:r>
        <w:rPr>
          <w:rFonts w:hint="eastAsia" w:ascii="Times New Roman" w:hAnsi="Times New Roman" w:eastAsia="SimHei" w:cs="Times New Roman"/>
        </w:rPr>
        <w:t xml:space="preserve">图与两条判据</w:t>
      </w:r>
    </w:p>
    <w:p>
      <w:pPr>
        <w:pStyle w:val="FirstParagraph"/>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钒的</w:t>
            </w:r>
            <w:r>
              <w:rPr>
                <w:rFonts w:ascii="Times New Roman" w:hAnsi="Times New Roman" w:eastAsia="Times New Roman" w:cs="Times New Roman"/>
                <w:b/>
              </w:rPr>
              <w:t xml:space="preserve"> Latimer </w:t>
            </w:r>
            <w:r>
              <w:rPr>
                <w:rFonts w:hint="eastAsia" w:ascii="Times New Roman" w:hAnsi="Times New Roman" w:eastAsia="SimHei" w:cs="Times New Roman"/>
                <w:b/>
              </w:rPr>
              <w:t xml:space="preserve">图</w:t>
            </w:r>
          </w:p>
        </w:tc>
      </w:tr>
      <w:tr>
        <w:tc>
          <w:tcPr/>
          <w:p>
            <w:pPr>
              <w:pStyle w:val="Compact"/>
              <w:jc w:val="center"/>
            </w:pPr>
            <w:r>
              <w:rPr>
                <w:rFonts w:ascii="Times New Roman" w:hAnsi="Times New Roman" w:eastAsia="Times New Roman" w:cs="Times New Roman"/>
              </w:rPr>
              <w:drawing>
                <wp:inline>
                  <wp:extent cx="2667000" cy="727363"/>
                  <wp:effectExtent b="0" l="0" r="0" t="0"/>
                  <wp:docPr descr="" title="" id="27" name="Picture"/>
                  <a:graphic>
                    <a:graphicData uri="http://schemas.openxmlformats.org/drawingml/2006/picture">
                      <pic:pic>
                        <pic:nvPicPr>
                          <pic:cNvPr descr="bc1691164978e033769dd51e0cffe8e4d29c303eb471a03b6076adc4ae14f5c3.jpg" id="28" name="Picture"/>
                          <pic:cNvPicPr>
                            <a:picLocks noChangeArrowheads="1" noChangeAspect="1"/>
                          </pic:cNvPicPr>
                        </pic:nvPicPr>
                        <pic:blipFill>
                          <a:blip r:embed="rId26"/>
                          <a:stretch>
                            <a:fillRect/>
                          </a:stretch>
                        </pic:blipFill>
                        <pic:spPr bwMode="auto">
                          <a:xfrm>
                            <a:off x="0" y="0"/>
                            <a:ext cx="2667000" cy="727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bookmarkEnd w:id="29"/>
    <w:bookmarkStart w:id="30" w:name="五氧化二钒与接触法制硫酸"/>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五氧化二钒与接触法制硫酸</w:t>
      </w:r>
    </w:p>
    <w:p>
      <w:pPr>
        <w:pStyle w:val="FirstParagraph"/>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bookmarkEnd w:id="30"/>
    <w:bookmarkStart w:id="31" w:name="钒酸根的缩合与多酸"/>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钒酸根的缩合与多酸</w:t>
      </w:r>
    </w:p>
    <w:p>
      <w:pPr>
        <w:pStyle w:val="FirstParagraph"/>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31"/>
    <w:bookmarkStart w:id="32" w:name="钒的反应速查"/>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钒的反应速查</w:t>
      </w:r>
    </w:p>
    <w:p>
      <w:pPr>
        <w:pStyle w:val="FirstParagraph"/>
        <w:ind w:firstLine="420"/>
      </w:pPr>
      <w:r>
        <w:rPr>
          <w:rFonts w:ascii="Times New Roman" w:hAnsi="Times New Roman" w:eastAsia="Times New Roman" w:cs="Times New Roman"/>
        </w:rPr>
        <w:t xml:space="preserve">V1 |</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V2 |</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制备五氧化二钒</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V3 |</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高价氯化物剧烈水解</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V4 |</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颜色序列的四段总反应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V5 |</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接触法制硫酸的氧转移循环</w:t>
      </w:r>
      <w:r>
        <w:rPr>
          <w:rFonts w:ascii="Times New Roman" w:hAnsi="Times New Roman" w:eastAsia="Times New Roman" w:cs="Times New Roman"/>
        </w:rPr>
        <w:t xml:space="preserve"> |</w:t>
      </w:r>
    </w:p>
    <w:bookmarkEnd w:id="32"/>
    <w:bookmarkEnd w:id="33"/>
    <w:bookmarkStart w:id="50"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bookmarkStart w:id="34" w:name="电子构型与单质性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电子构型与单质性质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bookmarkEnd w:id="34"/>
    <w:bookmarkStart w:id="35" w:name="铬iii-的稳定性与动力学惰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的稳定性与动力学惰性</w:t>
      </w:r>
    </w:p>
    <w:p>
      <w:pPr>
        <w:pStyle w:val="FirstParagraph"/>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bookmarkEnd w:id="35"/>
    <w:bookmarkStart w:id="36" w:name="铬iii-与铝iii-的对比"/>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的对比</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bookmarkEnd w:id="36"/>
    <w:bookmarkStart w:id="37" w:name="价态与氧化还原身份的反转"/>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价态与氧化还原身份的反转</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bookmarkEnd w:id="37"/>
    <w:bookmarkStart w:id="41" w:name="铬酸根重铬酸根平衡"/>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铬酸根</w:t>
      </w:r>
      <w:r>
        <w:rPr>
          <w:rFonts w:hint="eastAsia" w:ascii="Times New Roman" w:hAnsi="Times New Roman" w:eastAsia="Times New Roman" w:cs="Times New Roman"/>
        </w:rPr>
        <w:t>—</w:t>
      </w:r>
      <w:r>
        <w:rPr>
          <w:rFonts w:hint="eastAsia" w:ascii="Times New Roman" w:hAnsi="Times New Roman" w:eastAsia="SimHei" w:cs="Times New Roman"/>
        </w:rPr>
        <w:t>重铬酸根平衡</w:t>
      </w:r>
    </w:p>
    <w:p>
      <w:pPr>
        <w:pStyle w:val="FirstParagraph"/>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说明在酸性条件下二聚形式占明显优势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铬酸根</w:t>
            </w:r>
            <w:r>
              <w:rPr>
                <w:rFonts w:hint="eastAsia" w:ascii="Times New Roman" w:hAnsi="Times New Roman" w:eastAsia="Times New Roman" w:cs="Times New Roman"/>
                <w:b/>
              </w:rPr>
              <w:t>—</w:t>
            </w:r>
            <w:r>
              <w:rPr>
                <w:rFonts w:hint="eastAsia" w:ascii="Times New Roman" w:hAnsi="Times New Roman" w:eastAsia="SimHei" w:cs="Times New Roman"/>
                <w:b/>
              </w:rPr>
              <w:t>重铬酸根互变</w:t>
            </w:r>
          </w:p>
        </w:tc>
      </w:tr>
      <w:tr>
        <w:tc>
          <w:tcPr/>
          <w:p>
            <w:pPr>
              <w:pStyle w:val="Compact"/>
              <w:jc w:val="center"/>
            </w:pPr>
            <w:r>
              <w:rPr>
                <w:rFonts w:ascii="Times New Roman" w:hAnsi="Times New Roman" w:eastAsia="Times New Roman" w:cs="Times New Roman"/>
              </w:rPr>
              <w:drawing>
                <wp:inline>
                  <wp:extent cx="2667000" cy="695406"/>
                  <wp:effectExtent b="0" l="0" r="0" t="0"/>
                  <wp:docPr descr="" title="" id="39" name="Picture"/>
                  <a:graphic>
                    <a:graphicData uri="http://schemas.openxmlformats.org/drawingml/2006/picture">
                      <pic:pic>
                        <pic:nvPicPr>
                          <pic:cNvPr descr="b5a900674b3fa752df3bd2efb869d093a99d44b6d1d15d490462f1ca96d5b149.jpg" id="40" name="Picture"/>
                          <pic:cNvPicPr>
                            <a:picLocks noChangeArrowheads="1" noChangeAspect="1"/>
                          </pic:cNvPicPr>
                        </pic:nvPicPr>
                        <pic:blipFill>
                          <a:blip r:embed="rId38"/>
                          <a:stretch>
                            <a:fillRect/>
                          </a:stretch>
                        </pic:blipFill>
                        <pic:spPr bwMode="auto">
                          <a:xfrm>
                            <a:off x="0" y="0"/>
                            <a:ext cx="2667000" cy="69540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w:r>
              <w:rPr>
                <w:rFonts w:hint="eastAsia" w:ascii="Times New Roman" w:hAnsi="Times New Roman" w:eastAsia="FangSong" w:cs="Times New Roman"/>
              </w:rPr>
              <w:t>加酸右移变橙</w:t>
            </w:r>
            <w:r>
              <w:rPr>
                <w:rFonts w:hint="eastAsia" w:ascii="Times New Roman" w:hAnsi="Times New Roman" w:eastAsia="Times New Roman" w:cs="Times New Roman"/>
              </w:rPr>
              <w:t>、</w:t>
            </w:r>
            <w:r>
              <w:rPr>
                <w:rFonts w:hint="eastAsia" w:ascii="Times New Roman" w:hAnsi="Times New Roman" w:eastAsia="FangSong" w:cs="Times New Roman"/>
              </w:rPr>
              <w:t>加碱左移变黄</w:t>
            </w:r>
            <w:r>
              <w:rPr>
                <w:rFonts w:hint="eastAsia" w:ascii="Times New Roman" w:hAnsi="Times New Roman" w:eastAsia="Times New Roman" w:cs="Times New Roman"/>
              </w:rPr>
              <w:t>）</w:t>
            </w:r>
          </w:p>
        </w:tc>
      </w:tr>
    </w:tbl>
    <w:bookmarkEnd w:id="41"/>
    <w:bookmarkStart w:id="42" w:name="重铬酸根氧化性的应用"/>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重铬酸根氧化性的应用</w:t>
      </w:r>
    </w:p>
    <w:p>
      <w:pPr>
        <w:pStyle w:val="FirstParagraph"/>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bookmarkEnd w:id="42"/>
    <w:bookmarkStart w:id="43" w:name="铬酸盐的溶解性与沉淀信号"/>
    <w:p>
      <w:pPr>
        <w:pStyle w:val="Heading3"/>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铬酸盐的溶解性与沉淀信号</w:t>
      </w:r>
    </w:p>
    <w:p>
      <w:pPr>
        <w:pStyle w:val="FirstParagraph"/>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bookmarkEnd w:id="43"/>
    <w:bookmarkStart w:id="44" w:name="铬iii-的水解缩合链"/>
    <w:p>
      <w:pPr>
        <w:pStyle w:val="Heading3"/>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的水解缩合链</w:t>
      </w:r>
    </w:p>
    <w:p>
      <w:pPr>
        <w:pStyle w:val="FirstParagraph"/>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bookmarkEnd w:id="44"/>
    <w:bookmarkStart w:id="48" w:name="过氧化铬与-crcr-四重键"/>
    <w:p>
      <w:pPr>
        <w:pStyle w:val="Heading3"/>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过氧化铬与</w:t>
      </w:r>
      <w:r>
        <w:rPr>
          <w:rFonts w:ascii="Times New Roman" w:hAnsi="Times New Roman" w:eastAsia="Times New Roman" w:cs="Times New Roman"/>
        </w:rPr>
        <w:t xml:space="preserve"> Cr—Cr </w:t>
      </w:r>
      <w:r>
        <w:rPr>
          <w:rFonts w:hint="eastAsia" w:ascii="Times New Roman" w:hAnsi="Times New Roman" w:eastAsia="SimHei" w:cs="Times New Roman"/>
        </w:rPr>
        <w:t xml:space="preserve">四重键</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Cr—Cr </w:t>
            </w:r>
            <w:r>
              <w:rPr>
                <w:rFonts w:hint="eastAsia" w:ascii="Times New Roman" w:hAnsi="Times New Roman" w:eastAsia="SimHei" w:cs="Times New Roman"/>
                <w:b/>
              </w:rPr>
              <w:t xml:space="preserve">多重键的</w:t>
            </w:r>
            <w:r>
              <w:rPr>
                <w:rFonts w:ascii="Times New Roman" w:hAnsi="Times New Roman" w:eastAsia="Times New Roman" w:cs="Times New Roman"/>
                <w:b/>
              </w:rPr>
              <w:t xml:space="preserve"> d </w:t>
            </w:r>
            <w:r>
              <w:rPr>
                <w:rFonts w:hint="eastAsia" w:ascii="Times New Roman" w:hAnsi="Times New Roman" w:eastAsia="SimHei" w:cs="Times New Roman"/>
                <w:b/>
              </w:rPr>
              <w:t xml:space="preserve">轨道重叠</w:t>
            </w:r>
          </w:p>
        </w:tc>
      </w:tr>
      <w:tr>
        <w:tc>
          <w:tcPr/>
          <w:p>
            <w:pPr>
              <w:pStyle w:val="Compact"/>
              <w:jc w:val="center"/>
            </w:pPr>
            <w:r>
              <w:rPr>
                <w:rFonts w:ascii="Times New Roman" w:hAnsi="Times New Roman" w:eastAsia="Times New Roman" w:cs="Times New Roman"/>
              </w:rPr>
              <w:drawing>
                <wp:inline>
                  <wp:extent cx="2667000" cy="1230923"/>
                  <wp:effectExtent b="0" l="0" r="0" t="0"/>
                  <wp:docPr descr="" title="" id="46" name="Picture"/>
                  <a:graphic>
                    <a:graphicData uri="http://schemas.openxmlformats.org/drawingml/2006/picture">
                      <pic:pic>
                        <pic:nvPicPr>
                          <pic:cNvPr descr="f3b42059bf7b2eccd195ca2c9844257b11542f099f7dacc20cbf4488c6d4d741.jpg" id="47" name="Picture"/>
                          <pic:cNvPicPr>
                            <a:picLocks noChangeArrowheads="1" noChangeAspect="1"/>
                          </pic:cNvPicPr>
                        </pic:nvPicPr>
                        <pic:blipFill>
                          <a:blip r:embed="rId45"/>
                          <a:stretch>
                            <a:fillRect/>
                          </a:stretch>
                        </pic:blipFill>
                        <pic:spPr bwMode="auto">
                          <a:xfrm>
                            <a:off x="0" y="0"/>
                            <a:ext cx="2667000" cy="1230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轨道重叠与分子轨道能级</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48"/>
    <w:bookmarkStart w:id="49" w:name="铬的反应速查"/>
    <w:p>
      <w:pPr>
        <w:pStyle w:val="Heading3"/>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铬的反应速查</w:t>
      </w:r>
    </w:p>
    <w:p>
      <w:pPr>
        <w:pStyle w:val="FirstParagraph"/>
        <w:ind w:firstLine="420"/>
      </w:pPr>
      <w:r>
        <w:rPr>
          <w:rFonts w:ascii="Times New Roman" w:hAnsi="Times New Roman" w:eastAsia="Times New Roman" w:cs="Times New Roman"/>
        </w:rPr>
        <w:t xml:space="preserve">C1 |</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测铁与含铬废液还原处理</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C3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氢氧化铬的两性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C4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 |</w:t>
      </w:r>
      <w:r>
        <w:rPr>
          <w:rFonts w:ascii="Times New Roman" w:hAnsi="Times New Roman" w:eastAsia="Times New Roman" w:cs="Times New Roman"/>
        </w:rPr>
        <w:br/>
      </w:r>
      <w:r>
        <w:rPr>
          <w:rFonts w:ascii="Times New Roman" w:hAnsi="Times New Roman" w:eastAsia="Times New Roman" w:cs="Times New Roman"/>
        </w:rPr>
        <w:t xml:space="preserve">C5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49"/>
    <w:bookmarkEnd w:id="50"/>
    <w:bookmarkStart w:id="60"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bookmarkStart w:id="51" w:name="价态谱与介质调控"/>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价态谱与介质调控</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bookmarkEnd w:id="51"/>
    <w:bookmarkStart w:id="52" w:name="高锰酸根的三种还原产物"/>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高锰酸根的三种还原产物</w:t>
      </w:r>
    </w:p>
    <w:p>
      <w:pPr>
        <w:pStyle w:val="FirstParagraph"/>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bookmarkEnd w:id="52"/>
    <w:bookmarkStart w:id="53" w:name="介质决定产物的原因"/>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介质决定产物的原因</w:t>
      </w:r>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bookmarkEnd w:id="53"/>
    <w:bookmarkStart w:id="54" w:name="亚硫酸钠还原的三种形式"/>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亚硫酸钠还原的三种形式</w:t>
      </w:r>
    </w:p>
    <w:p>
      <w:pPr>
        <w:pStyle w:val="FirstParagraph"/>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bookmarkEnd w:id="54"/>
    <w:bookmarkStart w:id="55" w:name="锰ii-的鉴定"/>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bookmarkEnd w:id="55"/>
    <w:bookmarkStart w:id="56" w:name="二氧化锰"/>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二氧化锰</w:t>
      </w:r>
    </w:p>
    <w:p>
      <w:pPr>
        <w:pStyle w:val="FirstParagraph"/>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bookmarkEnd w:id="56"/>
    <w:bookmarkStart w:id="57" w:name="锰酸锂与平均价态的计算"/>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锰酸锂与平均价态的计算</w:t>
      </w:r>
    </w:p>
    <w:p>
      <w:pPr>
        <w:pStyle w:val="FirstParagraph"/>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bookmarkEnd w:id="57"/>
    <w:bookmarkStart w:id="58" w:name="高锰酸钾的制备与滴定限制"/>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高锰酸钾的制备与滴定限制</w:t>
      </w:r>
    </w:p>
    <w:p>
      <w:pPr>
        <w:pStyle w:val="FirstParagraph"/>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58"/>
    <w:bookmarkStart w:id="59" w:name="锰的反应速查"/>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锰的反应速查</w:t>
      </w:r>
    </w:p>
    <w:p>
      <w:pPr>
        <w:pStyle w:val="FirstParagraph"/>
        <w:ind w:firstLine="420"/>
      </w:pPr>
      <w:r>
        <w:rPr>
          <w:rFonts w:ascii="Times New Roman" w:hAnsi="Times New Roman" w:eastAsia="Times New Roman" w:cs="Times New Roman"/>
        </w:rPr>
        <w:t xml:space="preserve">M1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M2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中性介质还原</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M3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强碱介质还原</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M4 |</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M5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实验室制氯气</w:t>
      </w:r>
      <w:r>
        <w:rPr>
          <w:rFonts w:ascii="Times New Roman" w:hAnsi="Times New Roman" w:eastAsia="Times New Roman" w:cs="Times New Roman"/>
        </w:rPr>
        <w:t xml:space="preserve"> |</w:t>
      </w:r>
    </w:p>
    <w:bookmarkEnd w:id="59"/>
    <w:bookmarkEnd w:id="60"/>
    <w:bookmarkStart w:id="65"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bookmarkStart w:id="61" w:name="四元素横向对照"/>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四元素横向对照</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bookmarkEnd w:id="61"/>
    <w:bookmarkStart w:id="62" w:name="含氧酸强度的物理根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含氧酸强度的物理根源</w:t>
      </w:r>
    </w:p>
    <w:p>
      <w:pPr>
        <w:pStyle w:val="FirstParagraph"/>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bookmarkEnd w:id="62"/>
    <w:bookmarkStart w:id="63" w:name="信号物种验证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信号</w:t>
      </w:r>
      <w:r>
        <w:rPr>
          <w:rFonts w:hint="eastAsia" w:ascii="Times New Roman" w:hAnsi="Times New Roman" w:eastAsia="Times New Roman" w:cs="Times New Roman"/>
        </w:rPr>
        <w:t>—</w:t>
      </w:r>
      <w:r>
        <w:rPr>
          <w:rFonts w:hint="eastAsia" w:ascii="Times New Roman" w:hAnsi="Times New Roman" w:eastAsia="SimHei" w:cs="Times New Roman"/>
        </w:rPr>
        <w:t>物种</w:t>
      </w:r>
      <w:r>
        <w:rPr>
          <w:rFonts w:hint="eastAsia" w:ascii="Times New Roman" w:hAnsi="Times New Roman" w:eastAsia="Times New Roman" w:cs="Times New Roman"/>
        </w:rPr>
        <w:t>—</w:t>
      </w:r>
      <w:r>
        <w:rPr>
          <w:rFonts w:hint="eastAsia" w:ascii="Times New Roman" w:hAnsi="Times New Roman" w:eastAsia="SimHei" w:cs="Times New Roman"/>
        </w:rPr>
        <w:t>验证矩阵</w:t>
      </w:r>
    </w:p>
    <w:p>
      <w:pPr>
        <w:pStyle w:val="FirstParagraph"/>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63"/>
    <w:bookmarkStart w:id="64" w:name="四元素化合物速查俗名颜色性质反应"/>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四元素化合物速查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钛白粉</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化学惰性</w:t>
            </w:r>
            <w:r>
              <w:rPr>
                <w:rFonts w:hint="eastAsia" w:ascii="Times New Roman" w:hAnsi="Times New Roman" w:eastAsia="Times New Roman" w:cs="Times New Roman"/>
              </w:rPr>
              <w:t>，</w:t>
            </w:r>
            <w:r>
              <w:rPr>
                <w:rFonts w:hint="eastAsia" w:ascii="Times New Roman" w:hAnsi="Times New Roman" w:eastAsia="FangSong" w:cs="Times New Roman"/>
              </w:rPr>
              <w:t>折射率高</w:t>
            </w:r>
          </w:p>
        </w:tc>
        <w:tc>
          <w:tcPr/>
          <w:p>
            <w:pPr>
              <w:pStyle w:val="Compact"/>
              <w:jc w:val="center"/>
            </w:pPr>
            <m:oMath>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136</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紫色晶体</w:t>
            </w:r>
            <w:r>
              <w:rPr>
                <w:rFonts w:hint="eastAsia" w:ascii="Times New Roman" w:hAnsi="Times New Roman" w:eastAsia="Times New Roman" w:cs="Times New Roman"/>
              </w:rPr>
              <w:t>（</w:t>
            </w:r>
            <w:r>
              <w:rPr>
                <w:rFonts w:hint="eastAsia" w:ascii="Times New Roman" w:hAnsi="Times New Roman" w:eastAsia="FangSong" w:cs="Times New Roman"/>
              </w:rPr>
              <w:t>三价钛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空气中被氧化褪色</w:t>
            </w:r>
          </w:p>
        </w:tc>
        <w:tc>
          <w:tcPr/>
          <w:p>
            <w:pPr>
              <w:pStyle w:val="Compact"/>
              <w:jc w:val="center"/>
            </w:pPr>
            <m:oMath>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钒酸酐</w:t>
            </w:r>
          </w:p>
        </w:tc>
        <w:tc>
          <w:tcPr/>
          <w:p>
            <w:pPr>
              <w:pStyle w:val="Compact"/>
              <w:jc w:val="center"/>
            </w:pPr>
            <w:r>
              <w:rPr>
                <w:rFonts w:hint="eastAsia" w:ascii="Times New Roman" w:hAnsi="Times New Roman" w:eastAsia="FangSong" w:cs="Times New Roman"/>
              </w:rPr>
              <w:t xml:space="preserve">橙红色固体</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V</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三氯氧钒</w:t>
            </w:r>
          </w:p>
        </w:tc>
        <w:tc>
          <w:tcPr/>
          <w:p>
            <w:pPr>
              <w:pStyle w:val="Compact"/>
              <w:jc w:val="center"/>
            </w:pPr>
            <w:r>
              <w:rPr>
                <w:rFonts w:hint="eastAsia" w:ascii="Times New Roman" w:hAnsi="Times New Roman" w:eastAsia="FangSong" w:cs="Times New Roman"/>
              </w:rPr>
              <w:t xml:space="preserve">黄色液体</w:t>
            </w:r>
          </w:p>
        </w:tc>
        <w:tc>
          <w:tcPr/>
          <w:p>
            <w:pPr>
              <w:pStyle w:val="Compact"/>
              <w:jc w:val="center"/>
            </w:pPr>
            <w:r>
              <w:rPr>
                <w:rFonts w:hint="eastAsia" w:ascii="Times New Roman" w:hAnsi="Times New Roman" w:eastAsia="FangSong" w:cs="Times New Roman"/>
              </w:rPr>
              <w:t xml:space="preserve">遇水剧烈水解</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银白色金属</w:t>
            </w:r>
            <w:r>
              <w:rPr>
                <w:rFonts w:hint="eastAsia" w:ascii="Times New Roman" w:hAnsi="Times New Roman" w:eastAsia="Times New Roman" w:cs="Times New Roman"/>
              </w:rPr>
              <w:t>，</w:t>
            </w:r>
            <w:r>
              <w:rPr>
                <w:rFonts w:hint="eastAsia" w:ascii="Times New Roman" w:hAnsi="Times New Roman" w:eastAsia="FangSong" w:cs="Times New Roman"/>
              </w:rPr>
              <w:t>单质中硬度最大</w:t>
            </w:r>
          </w:p>
        </w:tc>
        <w:tc>
          <w:tcPr/>
          <w:p>
            <w:pPr>
              <w:pStyle w:val="Compact"/>
              <w:jc w:val="center"/>
            </w:pPr>
            <w:r>
              <w:rPr>
                <w:rFonts w:hint="eastAsia" w:ascii="Times New Roman" w:hAnsi="Times New Roman" w:eastAsia="FangSong" w:cs="Times New Roman"/>
              </w:rPr>
              <w:t>常温表面钝化</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m:oMath>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铝热法</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铬绿</w:t>
            </w:r>
          </w:p>
        </w:tc>
        <w:tc>
          <w:tcPr/>
          <w:p>
            <w:pPr>
              <w:pStyle w:val="Compact"/>
              <w:jc w:val="center"/>
            </w:pPr>
            <w:r>
              <w:rPr>
                <w:rFonts w:hint="eastAsia" w:ascii="Times New Roman" w:hAnsi="Times New Roman" w:eastAsia="FangSong" w:cs="Times New Roman"/>
              </w:rPr>
              <w:t xml:space="preserve">绿色固体</w:t>
            </w:r>
          </w:p>
        </w:tc>
        <w:tc>
          <w:tcPr/>
          <w:p>
            <w:pPr>
              <w:pStyle w:val="Compact"/>
              <w:jc w:val="center"/>
            </w:pPr>
            <w:r>
              <w:rPr>
                <w:rFonts w:hint="eastAsia" w:ascii="Times New Roman" w:hAnsi="Times New Roman" w:eastAsia="FangSong" w:cs="Times New Roman"/>
              </w:rPr>
              <w:t xml:space="preserve">两性氧化物</w:t>
            </w:r>
          </w:p>
        </w:tc>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C</m:t>
              </m:r>
              <m:r>
                <m:rPr>
                  <m:sty m:val="p"/>
                </m:rPr>
                <m:t>r</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铬酸酐</w:t>
            </w:r>
          </w:p>
        </w:tc>
        <w:tc>
          <w:tcPr/>
          <w:p>
            <w:pPr>
              <w:pStyle w:val="Compact"/>
              <w:jc w:val="center"/>
            </w:pPr>
            <w:r>
              <w:rPr>
                <w:rFonts w:hint="eastAsia" w:ascii="Times New Roman" w:hAnsi="Times New Roman" w:eastAsia="FangSong" w:cs="Times New Roman"/>
              </w:rPr>
              <w:t xml:space="preserve">暗红色晶体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t>2</m:t>
              </m: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红矾钾</w:t>
            </w:r>
          </w:p>
        </w:tc>
        <w:tc>
          <w:tcPr/>
          <w:p>
            <w:pPr>
              <w:pStyle w:val="Compact"/>
              <w:jc w:val="center"/>
            </w:pPr>
            <w:r>
              <w:rPr>
                <w:rFonts w:hint="eastAsia" w:ascii="Times New Roman" w:hAnsi="Times New Roman" w:eastAsia="FangSong" w:cs="Times New Roman"/>
              </w:rPr>
              <w:t xml:space="preserve">橙红色晶体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滴定基准物</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铬黄</w:t>
            </w:r>
          </w:p>
        </w:tc>
        <w:tc>
          <w:tcPr/>
          <w:p>
            <w:pPr>
              <w:pStyle w:val="Compact"/>
              <w:jc w:val="center"/>
            </w:pPr>
            <w:r>
              <w:rPr>
                <w:rFonts w:hint="eastAsia" w:ascii="Times New Roman" w:hAnsi="Times New Roman" w:eastAsia="FangSong" w:cs="Times New Roman"/>
              </w:rPr>
              <w:t xml:space="preserve">橙黄色固体</w:t>
            </w:r>
          </w:p>
        </w:tc>
        <w:tc>
          <w:tcPr/>
          <w:p>
            <w:pPr>
              <w:pStyle w:val="Compact"/>
              <w:jc w:val="center"/>
            </w:pP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黄色颜料</w:t>
            </w:r>
          </w:p>
        </w:tc>
        <w:tc>
          <w:tcPr/>
          <w:p>
            <w:pPr>
              <w:pStyle w:val="Compact"/>
              <w:jc w:val="center"/>
            </w:pPr>
            <m:oMath>
              <m:r>
                <m:rPr>
                  <m:sty m:val="p"/>
                </m:rPr>
                <m:t>P</m:t>
              </m:r>
              <m:sSup>
                <m:e>
                  <m:r>
                    <m:rPr>
                      <m:sty m:val="p"/>
                    </m:rPr>
                    <m:t>b</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砖红色沉淀</w:t>
            </w:r>
          </w:p>
        </w:tc>
        <w:tc>
          <w:tcPr/>
          <w:p>
            <w:pPr>
              <w:pStyle w:val="Compact"/>
              <w:jc w:val="center"/>
            </w:pPr>
            <w:r>
              <w:rPr>
                <w:rFonts w:hint="eastAsia" w:ascii="Times New Roman" w:hAnsi="Times New Roman" w:eastAsia="FangSong" w:cs="Times New Roman"/>
              </w:rPr>
              <w:t xml:space="preserve">莫尔法沉淀滴定指示剂</w:t>
            </w:r>
          </w:p>
        </w:tc>
        <w:tc>
          <w:tcPr/>
          <w:p>
            <w:pPr>
              <w:pStyle w:val="Compact"/>
              <w:jc w:val="center"/>
            </w:pPr>
            <m:oMath>
              <m:r>
                <m:t>2</m:t>
              </m:r>
              <m:r>
                <m:rPr>
                  <m:sty m:val="p"/>
                </m:rPr>
                <m:t>A</m:t>
              </m:r>
              <m:sSup>
                <m:e>
                  <m:r>
                    <m:rPr>
                      <m:sty m:val="p"/>
                    </m:rPr>
                    <m:t>g</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软锰矿</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p>
        </w:tc>
      </w:tr>
      <w:tr>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绿色油状液体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H</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还原产物由介质决定</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锰酸钾</w:t>
            </w:r>
          </w:p>
        </w:tc>
        <w:tc>
          <w:tcPr/>
          <w:p>
            <w:pPr>
              <w:pStyle w:val="Compact"/>
              <w:jc w:val="center"/>
            </w:pPr>
            <w:r>
              <w:rPr>
                <w:rFonts w:hint="eastAsia" w:ascii="Times New Roman" w:hAnsi="Times New Roman" w:eastAsia="FangSong" w:cs="Times New Roman"/>
              </w:rPr>
              <w:t xml:space="preserve">暗绿色固体</w:t>
            </w:r>
          </w:p>
        </w:tc>
        <w:tc>
          <w:tcPr/>
          <w:p>
            <w:pPr>
              <w:pStyle w:val="Compact"/>
              <w:jc w:val="center"/>
            </w:pPr>
            <w:r>
              <w:rPr>
                <w:rFonts w:hint="eastAsia" w:ascii="Times New Roman" w:hAnsi="Times New Roman" w:eastAsia="FangSong" w:cs="Times New Roman"/>
              </w:rPr>
              <w:t xml:space="preserve">仅在强碱中稳定</w:t>
            </w:r>
          </w:p>
        </w:tc>
        <w:tc>
          <w:tcPr/>
          <w:p>
            <w:pPr>
              <w:pStyle w:val="Compact"/>
              <w:jc w:val="center"/>
            </w:pP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锰酸锂</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锂电池正极材料</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m:oMath>
              <m:r>
                <m:rPr>
                  <m:sty m:val="p"/>
                </m:rPr>
                <m:t>+</m:t>
              </m:r>
              <m:r>
                <m:t>3.5</m:t>
              </m:r>
            </m:oMath>
          </w:p>
        </w:tc>
        <w:tc>
          <w:tcPr/>
          <w:p>
            <w:pPr>
              <w:pStyle w:val="Compact"/>
              <w:jc w:val="center"/>
            </w:pPr>
            <m:oMath>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64"/>
    <w:bookmarkEnd w:id="65"/>
    <w:bookmarkStart w:id="67"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6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8" Type="http://schemas.openxmlformats.org/officeDocument/2006/relationships/image" Target="media/rId38.jpg"/><Relationship Id="rId26" Type="http://schemas.openxmlformats.org/officeDocument/2006/relationships/image" Target="media/rId26.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2026-09-30T08:53:11Z</dcterms:created>
  <dcterms:modified xsi:type="dcterms:W3CDTF">2026-09-30T08:53:11Z</dcterms:modified>
</cp:coreProperties>
</file>

<file path=docProps/custom.xml><?xml version="1.0" encoding="utf-8"?>
<Properties xmlns="http://schemas.openxmlformats.org/officeDocument/2006/custom-properties" xmlns:vt="http://schemas.openxmlformats.org/officeDocument/2006/docPropsVTypes"/>
</file>