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配制系列标准溶液</w:t>
      </w:r>
      <w:r>
        <w:rPr>
          <w:rFonts w:hint="eastAsia" w:ascii="Times New Roman" w:hAnsi="Times New Roman" w:eastAsia="Times New Roman" w:cs="Times New Roman"/>
        </w:rPr>
        <w:t>（4~6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个不同浓度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λ_max </w:t>
      </w:r>
      <w:r>
        <w:rPr>
          <w:rFonts w:hint="eastAsia" w:ascii="Times New Roman" w:hAnsi="Times New Roman" w:eastAsia="FangSong" w:cs="Times New Roman"/>
        </w:rPr>
        <w:t xml:space="preserve">处测定各标准溶液的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为横坐标作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 xml:space="preserve">标准曲线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测定未知样品的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配标准系列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选</w:t>
      </w:r>
      <w:r>
        <w:rPr>
          <w:rStyle w:val="VerbatimChar"/>
          <w:rFonts w:ascii="SimSun" w:hAnsi="SimSun" w:eastAsia="SimSun" w:cs="SimSun"/>
        </w:rPr>
        <w:t xml:space="preserve"> λ_max → </w:t>
      </w:r>
      <w:r>
        <w:rPr>
          <w:rStyle w:val="VerbatimChar"/>
          <w:rFonts w:hint="eastAsia" w:ascii="SimSun" w:hAnsi="SimSun" w:eastAsia="SimSun" w:cs="SimSun"/>
        </w:rPr>
        <w:t xml:space="preserve">测</w:t>
      </w:r>
      <w:r>
        <w:rPr>
          <w:rStyle w:val="VerbatimChar"/>
          <w:rFonts w:ascii="SimSun" w:hAnsi="SimSun" w:eastAsia="SimSun" w:cs="SimSun"/>
        </w:rPr>
        <w:t xml:space="preserve"> A → </w:t>
      </w:r>
      <w:r>
        <w:rPr>
          <w:rStyle w:val="VerbatimChar"/>
          <w:rFonts w:hint="eastAsia" w:ascii="SimSun" w:hAnsi="SimSun" w:eastAsia="SimSun" w:cs="SimSun"/>
        </w:rPr>
        <w:t xml:space="preserve">画</w:t>
      </w:r>
      <w:r>
        <w:rPr>
          <w:rStyle w:val="VerbatimChar"/>
          <w:rFonts w:ascii="SimSun" w:hAnsi="SimSun" w:eastAsia="SimSun" w:cs="SimSun"/>
        </w:rPr>
        <w:t xml:space="preserve"> A-c </w:t>
      </w:r>
      <w:r>
        <w:rPr>
          <w:rStyle w:val="VerbatimChar"/>
          <w:rFonts w:hint="eastAsia" w:ascii="SimSun" w:hAnsi="SimSun" w:eastAsia="SimSun" w:cs="SimSun"/>
        </w:rPr>
        <w:t xml:space="preserve">曲线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测样品</w:t>
      </w:r>
      <w:r>
        <w:rPr>
          <w:rStyle w:val="VerbatimChar"/>
          <w:rFonts w:ascii="SimSun" w:hAnsi="SimSun" w:eastAsia="SimSun" w:cs="SimSun"/>
        </w:rPr>
        <w:t xml:space="preserve"> A → </w:t>
      </w:r>
      <w:r>
        <w:rPr>
          <w:rStyle w:val="VerbatimChar"/>
          <w:rFonts w:hint="eastAsia" w:ascii="SimSun" w:hAnsi="SimSun" w:eastAsia="SimSun" w:cs="SimSun"/>
        </w:rPr>
        <w:t xml:space="preserve">查浓度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(4-6</w:t>
      </w:r>
      <w:r>
        <w:rPr>
          <w:rStyle w:val="VerbatimChar"/>
          <w:rFonts w:hint="eastAsia" w:ascii="SimSun" w:hAnsi="SimSun" w:eastAsia="SimSun" w:cs="SimSun"/>
        </w:rPr>
        <w:t>个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灵敏度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(0.2-0.8)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线性范围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相同显色条件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numPr>
          <w:ilvl w:val="0"/>
          <w:numId w:val="1007"/>
        </w:numPr>
      </w:pP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2026-09-11T14:44:00Z</dcterms:created>
  <dcterms:modified xsi:type="dcterms:W3CDTF">2026-09-11T14:44:00Z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