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理想气体模型与状态方程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理解理想气体的定义和适用条件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掌握理想气体状态方程</w:t>
            </w:r>
            <w:r>
              <w:rPr>
                <w:rFonts w:ascii="Times New Roman" w:hAnsi="Times New Roman" w:eastAsia="Times New Roman" w:cs="Times New Roman"/>
              </w:rPr>
              <w:t xml:space="preserve"> pV=nRT </w:t>
            </w:r>
            <w:r>
              <w:rPr>
                <w:rFonts w:hint="eastAsia" w:ascii="Times New Roman" w:hAnsi="Times New Roman" w:eastAsia="FangSong" w:cs="Times New Roman"/>
              </w:rPr>
              <w:t xml:space="preserve">及其三种变形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分压定律与湿气体校正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分压定律计算混合气体的分压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解决排水集气法中的湿气体校正问题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真实气体的偏差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了解真实气体与理想气体偏差的原因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§02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运用</w:t>
            </w: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扩散定律比较气体扩散速率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在一定条件下十分准确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2026-09-19T05:39:11Z</dcterms:created>
  <dcterms:modified xsi:type="dcterms:W3CDTF">2026-09-19T05:39:11Z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