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一分册专项卷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白磷红磷稳定性</w:t>
      </w:r>
    </w:p>
    <w:p>
      <w:pPr>
        <w:pStyle w:val="BodyText"/>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2"/>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3"/>
        </w:numPr>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spacing w:before="0" w:after="0"/>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硫化亚铜与硝酸配平</w:t>
      </w:r>
      <w:r>
        <w:rPr>
          <w:rFonts w:hint="eastAsia" w:ascii="Times New Roman" w:hAnsi="Times New Roman" w:eastAsia="Times New Roman" w:cs="Times New Roman"/>
          <w:b/>
          <w:bCs/>
        </w:rPr>
        <w:t>（</w:t>
      </w:r>
      <w:r>
        <w:rPr>
          <w:rFonts w:hint="eastAsia" w:ascii="Times New Roman" w:hAnsi="Times New Roman" w:eastAsia="FangSong" w:cs="Times New Roman"/>
          <w:b/>
          <w:bCs/>
        </w:rPr>
        <w:t>最小公倍数法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胆矾与</w:t>
      </w:r>
      <w:r>
        <w:rPr>
          <w:rFonts w:hint="eastAsia" w:ascii="Times New Roman" w:hAnsi="Times New Roman" w:eastAsia="Times New Roman" w:cs="Times New Roman"/>
          <w:b/>
          <w:bCs/>
        </w:rPr>
        <w:t>Q1Q2</w:t>
      </w:r>
      <w:r>
        <w:rPr>
          <w:rFonts w:hint="eastAsia" w:ascii="Times New Roman" w:hAnsi="Times New Roman" w:eastAsia="FangSong" w:cs="Times New Roman"/>
          <w:b/>
          <w:bCs/>
        </w:rPr>
        <w:t>比较</w:t>
      </w:r>
    </w:p>
    <w:p>
      <w:pPr>
        <w:pStyle w:val="BodyText"/>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spacing w:before="0" w:after="0"/>
        <w:ind w:left="480" w:hanging="48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无法确定</w:t>
      </w: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5】（199</w:t>
      </w:r>
    </w:p>
    <w:p>
      <w:pPr>
        <w:pStyle w:val="FirstParagraph"/>
      </w:pPr>
      <w:r>
        <w:rPr>
          <w:rFonts w:hint="eastAsia" w:ascii="Times New Roman" w:hAnsi="Times New Roman" w:eastAsia="FangSong" w:cs="Times New Roman"/>
          <w:b/>
          <w:bCs/>
        </w:rPr>
        <w:t>锌粉还原硝酸钠制氨</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电子法</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x</w:t>
      </w:r>
      <w:r>
        <w:rPr>
          <w:rFonts w:ascii="Times New Roman" w:hAnsi="Times New Roman" w:eastAsia="Times New Roman" w:cs="Times New Roman"/>
          <w:b/>
          <w:bCs/>
        </w:rPr>
        <w:t>H</w:t>
      </w:r>
      <w:r>
        <w:rPr>
          <w:rFonts w:ascii="Times New Roman" w:hAnsi="Times New Roman" w:eastAsia="Times New Roman" w:cs="Times New Roman"/>
          <w:b/>
          <w:bCs/>
          <w:vertAlign w:val="subscript"/>
        </w:rPr>
        <w:t>γ</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燃烧推算</w:t>
      </w:r>
    </w:p>
    <w:p>
      <w:pPr>
        <w:pStyle w:val="BodyText"/>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0" w:after="0"/>
      </w:pPr>
    </w:p>
    <w:p>
      <w:pPr>
        <w:spacing w:before="0" w:after="0"/>
      </w:pPr>
    </w:p>
    <w:bookmarkEnd w:id="18"/>
    <w:bookmarkStart w:id="1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6"/>
        </w:numPr>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ascii="Times New Roman" w:hAnsi="Times New Roman" w:eastAsia="Times New Roman" w:cs="Times New Roman"/>
                <w:b/>
              </w:rPr>
              <w:t xml:space="preserve">A</w:t>
            </w:r>
          </w:p>
        </w:tc>
        <w:tc>
          <w:tcPr>
            <w:tcBorders>
              <w:bottom w:val="single" w:sz="8" w:space="0" w:color="000000"/>
            </w:tcBorders>
          </w:tcPr>
          <w:p>
            <w:pPr>
              <w:pStyle w:val="Compact"/>
              <w:jc w:val="center"/>
            </w:pPr>
            <w:r>
              <w:rPr>
                <w:rFonts w:ascii="Times New Roman" w:hAnsi="Times New Roman" w:eastAsia="Times New Roman" w:cs="Times New Roman"/>
                <w:b/>
              </w:rPr>
              <w:t xml:space="preserve">B</w:t>
            </w:r>
          </w:p>
        </w:tc>
        <w:tc>
          <w:tcPr>
            <w:tcBorders>
              <w:bottom w:val="single" w:sz="8" w:space="0" w:color="000000"/>
            </w:tcBorders>
          </w:tcPr>
          <w:p>
            <w:pPr>
              <w:pStyle w:val="Compact"/>
              <w:jc w:val="center"/>
            </w:pPr>
            <w:r>
              <w:rPr>
                <w:rFonts w:ascii="Times New Roman" w:hAnsi="Times New Roman" w:eastAsia="Times New Roman" w:cs="Times New Roman"/>
                <w:b/>
              </w:rPr>
              <w:t xml:space="preserve">C</w:t>
            </w:r>
          </w:p>
        </w:tc>
        <w:tc>
          <w:tcPr>
            <w:tcBorders>
              <w:bottom w:val="single" w:sz="8" w:space="0" w:color="000000"/>
            </w:tcBorders>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p>
            <w:pPr>
              <w:spacing w:before="0" w:after="0"/>
            </w:pPr>
          </w:p>
          <w:p>
            <w:pPr>
              <w:spacing w:before="0" w:after="0"/>
            </w:pPr>
          </w:p>
          <w:p>
            <w:pPr>
              <w:spacing w:before="0" w:after="0"/>
            </w:pPr>
          </w:p>
          <w:p>
            <w:pPr>
              <w:spacing w:before="0" w:after="0"/>
            </w:pPr>
          </w:p>
          <w:p>
            <w:pPr>
              <w:spacing w:before="0" w:after="0"/>
            </w:pPr>
          </w:p>
        </w:tc>
      </w:tr>
    </w:tbl>
    <w:bookmarkEnd w:id="19"/>
    <w:bookmarkStart w:id="2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蒸气密度法测相对分子质量</w:t>
      </w:r>
    </w:p>
    <w:p>
      <w:pPr>
        <w:pStyle w:val="BodyText"/>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65093"/>
            <wp:effectExtent b="0" l="0" r="0" t="0"/>
            <wp:docPr descr="" title="" id="21" name="Picture"/>
            <a:graphic>
              <a:graphicData uri="http://schemas.openxmlformats.org/drawingml/2006/picture">
                <pic:pic>
                  <pic:nvPicPr>
                    <pic:cNvPr descr="f8dd3e02c9723b6336277d64dfa6d403d9557a7e80f1ec410790b0572db34786.jpg" id="22" name="Picture"/>
                    <pic:cNvPicPr>
                      <a:picLocks noChangeArrowheads="1" noChangeAspect="1"/>
                    </pic:cNvPicPr>
                  </pic:nvPicPr>
                  <pic:blipFill>
                    <a:blip r:embed="rId20"/>
                    <a:stretch>
                      <a:fillRect/>
                    </a:stretch>
                  </pic:blipFill>
                  <pic:spPr bwMode="auto">
                    <a:xfrm>
                      <a:off x="0" y="0"/>
                      <a:ext cx="3240000" cy="4065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bookmarkEnd w:id="23"/>
    <w:bookmarkStart w:id="24"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ClO3</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5"/>
    <w:bookmarkStart w:id="2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铜晶胞边长与金属半径</w:t>
      </w:r>
    </w:p>
    <w:p>
      <w:pPr>
        <w:pStyle w:val="BodyText"/>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6"/>
    <w:bookmarkStart w:id="2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13</w:t>
      </w:r>
      <w:r>
        <w:rPr>
          <w:rFonts w:hint="eastAsia" w:ascii="Times New Roman" w:hAnsi="Times New Roman" w:eastAsia="FangSong" w:cs="Times New Roman"/>
          <w:b/>
          <w:bCs/>
        </w:rPr>
        <w:t>超级原子选择题</w:t>
      </w:r>
      <w:r>
        <w:rPr>
          <w:rFonts w:hint="eastAsia" w:ascii="Times New Roman" w:hAnsi="Times New Roman" w:eastAsia="Times New Roman" w:cs="Times New Roman"/>
          <w:b/>
          <w:bCs/>
        </w:rPr>
        <w:t>（</w:t>
      </w:r>
      <w:r>
        <w:rPr>
          <w:rFonts w:hint="eastAsia" w:ascii="Times New Roman" w:hAnsi="Times New Roman" w:eastAsia="FangSong" w:cs="Times New Roman"/>
          <w:b/>
          <w:bCs/>
        </w:rPr>
        <w:t>据</w:t>
      </w:r>
      <w:r>
        <w:rPr>
          <w:rFonts w:hint="eastAsia" w:ascii="Times New Roman" w:hAnsi="Times New Roman" w:eastAsia="Times New Roman" w:cs="Times New Roman"/>
          <w:b/>
          <w:bCs/>
        </w:rPr>
        <w:t>2005</w:t>
      </w:r>
      <w:r>
        <w:rPr>
          <w:rFonts w:hint="eastAsia" w:ascii="Times New Roman" w:hAnsi="Times New Roman" w:eastAsia="FangSong" w:cs="Times New Roman"/>
          <w:b/>
          <w:bCs/>
        </w:rPr>
        <w:t>年江苏省选拔赛改编</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spacing w:before="0" w:after="0"/>
      </w:pPr>
    </w:p>
    <w:p>
      <w:pPr>
        <w:spacing w:before="0" w:after="0"/>
      </w:pPr>
    </w:p>
    <w:bookmarkEnd w:id="27"/>
    <w:bookmarkStart w:id="2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键角规律与</w:t>
      </w:r>
      <w:r>
        <w:rPr>
          <w:rFonts w:hint="eastAsia" w:ascii="Times New Roman" w:hAnsi="Times New Roman" w:eastAsia="Times New Roman" w:cs="Times New Roman"/>
          <w:b/>
          <w:bCs/>
        </w:rPr>
        <w:t>PF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反常解释</w:t>
      </w:r>
    </w:p>
    <w:p>
      <w:pPr>
        <w:pStyle w:val="BodyText"/>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0"/>
        </w:numPr>
        <w:spacing w:after="8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8" w:space="0" w:color="000000"/>
            </w:tcBorders>
          </w:tcPr>
          <w:p>
            <w:pPr>
              <w:pStyle w:val="Compact"/>
              <w:jc w:val="center"/>
            </w:pPr>
            <w:r>
              <w:rPr>
                <w:rFonts w:ascii="Times New Roman" w:hAnsi="Times New Roman" w:eastAsia="Times New Roman" w:cs="Times New Roman"/>
                <w:b/>
              </w:rPr>
              <w:t xml:space="preserve">NaCl</w:t>
            </w:r>
          </w:p>
        </w:tc>
        <w:tc>
          <w:tcPr>
            <w:tcBorders>
              <w:bottom w:val="single" w:sz="8" w:space="0" w:color="000000"/>
            </w:tcBorders>
          </w:tcPr>
          <w:p>
            <w:pPr>
              <w:pStyle w:val="Compact"/>
              <w:jc w:val="center"/>
            </w:pPr>
            <w:r>
              <w:rPr>
                <w:rFonts w:ascii="Times New Roman" w:hAnsi="Times New Roman" w:eastAsia="Times New Roman" w:cs="Times New Roman"/>
                <w:b/>
              </w:rPr>
              <w:t xml:space="preserve">KCl</w:t>
            </w:r>
          </w:p>
        </w:tc>
        <w:tc>
          <w:tcPr>
            <w:tcBorders>
              <w:bottom w:val="single" w:sz="8" w:space="0" w:color="000000"/>
            </w:tcBorders>
          </w:tcPr>
          <w:p>
            <w:pPr>
              <w:pStyle w:val="Compact"/>
              <w:jc w:val="center"/>
            </w:pPr>
            <w:r>
              <w:rPr>
                <w:rFonts w:ascii="Times New Roman" w:hAnsi="Times New Roman" w:eastAsia="Times New Roman" w:cs="Times New Roman"/>
                <w:b/>
              </w:rPr>
              <w:t xml:space="preserve">RbCl</w:t>
            </w:r>
          </w:p>
        </w:tc>
        <w:tc>
          <w:tcPr>
            <w:tcBorders>
              <w:bottom w:val="single" w:sz="8" w:space="0" w:color="000000"/>
            </w:tcBorders>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11"/>
        </w:numPr>
        <w:spacing w:before="1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9"/>
    <w:bookmarkStart w:id="33"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热电晶体</w:t>
      </w:r>
      <w:r>
        <w:rPr>
          <w:rFonts w:hint="eastAsia" w:ascii="Times New Roman" w:hAnsi="Times New Roman" w:eastAsia="Times New Roman" w:cs="Times New Roman"/>
          <w:b/>
          <w:bCs/>
        </w:rPr>
        <w:t>LaFe</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Sb</w:t>
      </w:r>
      <w:r>
        <w:rPr>
          <w:rFonts w:hint="eastAsia" w:ascii="Times New Roman" w:hAnsi="Times New Roman" w:eastAsia="Times New Roman" w:cs="Times New Roman"/>
          <w:b/>
          <w:bCs/>
          <w:vertAlign w:val="subscript"/>
        </w:rPr>
        <w:t>12</w:t>
      </w:r>
      <w:r>
        <w:rPr>
          <w:rFonts w:hint="eastAsia" w:ascii="Times New Roman" w:hAnsi="Times New Roman" w:eastAsia="FangSong" w:cs="Times New Roman"/>
          <w:b/>
          <w:bCs/>
        </w:rPr>
        <w:t>化学式与氧化态</w:t>
      </w:r>
    </w:p>
    <w:p>
      <w:pPr>
        <w:pStyle w:val="BodyText"/>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241"/>
            <wp:effectExtent b="0" l="0" r="0" t="0"/>
            <wp:docPr descr="" title="" id="31" name="Picture"/>
            <a:graphic>
              <a:graphicData uri="http://schemas.openxmlformats.org/drawingml/2006/picture">
                <pic:pic>
                  <pic:nvPicPr>
                    <pic:cNvPr descr="4194d8afac9f005b9efb08d95abe7cbb42be0b9b1491547cecb901a47724a001.jpg" id="32" name="Picture"/>
                    <pic:cNvPicPr>
                      <a:picLocks noChangeArrowheads="1" noChangeAspect="1"/>
                    </pic:cNvPicPr>
                  </pic:nvPicPr>
                  <pic:blipFill>
                    <a:blip r:embed="rId30"/>
                    <a:stretch>
                      <a:fillRect/>
                    </a:stretch>
                  </pic:blipFill>
                  <pic:spPr bwMode="auto">
                    <a:xfrm>
                      <a:off x="0" y="0"/>
                      <a:ext cx="3240000" cy="3277241"/>
                    </a:xfrm>
                    <a:prstGeom prst="rect">
                      <a:avLst/>
                    </a:prstGeom>
                    <a:noFill/>
                    <a:ln w="9525">
                      <a:noFill/>
                      <a:headEnd/>
                      <a:tailEnd/>
                    </a:ln>
                  </pic:spPr>
                </pic:pic>
              </a:graphicData>
            </a:graphic>
          </wp:inline>
        </w:drawing>
      </w:r>
    </w:p>
    <w:bookmarkEnd w:id="33"/>
    <w:bookmarkStart w:id="34"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Si3N4</w:t>
      </w:r>
      <w:r>
        <w:rPr>
          <w:rFonts w:hint="eastAsia" w:ascii="Times New Roman" w:hAnsi="Times New Roman" w:eastAsia="FangSong" w:cs="Times New Roman"/>
          <w:b/>
          <w:bCs/>
        </w:rPr>
        <w:t>推断</w:t>
      </w:r>
    </w:p>
    <w:p>
      <w:pPr>
        <w:pStyle w:val="Compact"/>
        <w:numPr>
          <w:ilvl w:val="0"/>
          <w:numId w:val="1012"/>
        </w:numPr>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0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硅硼工艺现象解释</w:t>
      </w:r>
    </w:p>
    <w:p>
      <w:pPr>
        <w:pStyle w:val="Compact"/>
        <w:numPr>
          <w:ilvl w:val="0"/>
          <w:numId w:val="1014"/>
        </w:numPr>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6"/>
    <w:bookmarkStart w:id="3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硫化氢起始三步合成海波</w:t>
      </w:r>
    </w:p>
    <w:p>
      <w:pPr>
        <w:pStyle w:val="BodyText"/>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7"/>
    <w:bookmarkStart w:id="3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液氨中</w:t>
      </w:r>
      <w:r>
        <w:rPr>
          <w:rFonts w:hint="eastAsia" w:ascii="Times New Roman" w:hAnsi="Times New Roman" w:eastAsia="Times New Roman" w:cs="Times New Roman"/>
          <w:b/>
          <w:bCs/>
        </w:rPr>
        <w:t>Mg</w:t>
      </w:r>
      <w:r>
        <w:rPr>
          <w:rFonts w:hint="eastAsia" w:ascii="Times New Roman" w:hAnsi="Times New Roman" w:eastAsia="FangSong" w:cs="Times New Roman"/>
          <w:b/>
          <w:bCs/>
        </w:rPr>
        <w:t>置换</w:t>
      </w:r>
      <w:r>
        <w:rPr>
          <w:rFonts w:hint="eastAsia" w:ascii="Times New Roman" w:hAnsi="Times New Roman" w:eastAsia="Times New Roman" w:cs="Times New Roman"/>
          <w:b/>
          <w:bCs/>
        </w:rPr>
        <w:t>Na</w:t>
      </w:r>
      <w:r>
        <w:rPr>
          <w:rFonts w:hint="eastAsia" w:ascii="Times New Roman" w:hAnsi="Times New Roman" w:eastAsia="FangSong" w:cs="Times New Roman"/>
          <w:b/>
          <w:bCs/>
        </w:rPr>
        <w:t>机理</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8"/>
    <w:bookmarkStart w:id="3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p>
      <w:pPr>
        <w:spacing w:before="0" w:after="0"/>
      </w:pPr>
    </w:p>
    <w:p>
      <w:pPr>
        <w:spacing w:before="0" w:after="0"/>
      </w:pPr>
    </w:p>
    <w:bookmarkEnd w:id="39"/>
    <w:bookmarkStart w:id="4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2008</w:t>
      </w:r>
      <w:r>
        <w:rPr>
          <w:rFonts w:hint="eastAsia" w:ascii="Times New Roman" w:hAnsi="Times New Roman" w:eastAsia="FangSong" w:cs="Times New Roman"/>
          <w:b/>
          <w:bCs/>
        </w:rPr>
        <w:t>初赛</w:t>
      </w:r>
      <w:r>
        <w:rPr>
          <w:rFonts w:hint="eastAsia" w:ascii="Times New Roman" w:hAnsi="Times New Roman" w:eastAsia="Times New Roman" w:cs="Times New Roman"/>
          <w:b/>
          <w:bCs/>
        </w:rPr>
        <w:t>：ClO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制备与</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液态</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中</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8</w:t>
      </w:r>
      <w:r>
        <w:rPr>
          <w:rFonts w:hint="eastAsia" w:ascii="Times New Roman" w:hAnsi="Times New Roman" w:eastAsia="FangSong" w:cs="Times New Roman"/>
          <w:b/>
          <w:bCs/>
        </w:rPr>
        <w:t>硫阳离子与</w:t>
      </w:r>
      <w:r>
        <w:rPr>
          <w:rFonts w:hint="eastAsia" w:ascii="Times New Roman" w:hAnsi="Times New Roman" w:eastAsia="Times New Roman" w:cs="Times New Roman"/>
          <w:b/>
          <w:bCs/>
        </w:rPr>
        <w:t>AsF</w:t>
      </w:r>
      <w:r>
        <w:rPr>
          <w:rFonts w:hint="eastAsia" w:ascii="Times New Roman" w:hAnsi="Times New Roman" w:eastAsia="Times New Roman" w:cs="Times New Roman"/>
          <w:b/>
          <w:bCs/>
          <w:vertAlign w:val="subscript"/>
        </w:rPr>
        <w:t>6</w:t>
      </w:r>
      <w:r>
        <w:rPr>
          <w:rFonts w:hint="eastAsia" w:ascii="Times New Roman" w:hAnsi="Times New Roman" w:eastAsia="FangSong" w:cs="Times New Roman"/>
          <w:b/>
          <w:bCs/>
        </w:rPr>
        <w:t>阴离子</w:t>
      </w:r>
    </w:p>
    <w:p>
      <w:pPr>
        <w:pStyle w:val="BodyText"/>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2009</w:t>
      </w:r>
      <w:r>
        <w:rPr>
          <w:rFonts w:hint="eastAsia" w:ascii="Times New Roman" w:hAnsi="Times New Roman" w:eastAsia="FangSong" w:cs="Times New Roman"/>
          <w:b/>
          <w:bCs/>
        </w:rPr>
        <w:t>科大自招高含氮化合物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2"/>
    <w:bookmarkEnd w:id="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20" Type="http://schemas.openxmlformats.org/officeDocument/2006/relationships/image" Target="media/rId2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2026-09-20T15:53:58Z</dcterms:created>
  <dcterms:modified xsi:type="dcterms:W3CDTF">2026-09-20T15:53:58Z</dcterms:modified>
</cp:coreProperties>
</file>

<file path=docProps/custom.xml><?xml version="1.0" encoding="utf-8"?>
<Properties xmlns="http://schemas.openxmlformats.org/officeDocument/2006/custom-properties" xmlns:vt="http://schemas.openxmlformats.org/officeDocument/2006/docPropsVTypes"/>
</file>