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第一轮结构化学-有机分子结构初探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有机分子结构初探</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难度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9</w:t>
            </w:r>
          </w:p>
        </w:tc>
      </w:tr>
    </w:tbl>
    <w:p>
      <w:pPr>
        <w:spacing w:before="160" w:after="80"/>
      </w:pPr>
      <w:r>
        <w:pict>
          <v:rect style="width:0;height:1.5pt" o:hralign="center" o:hrstd="t" o:hr="t"/>
        </w:pict>
      </w:r>
    </w:p>
    <w:bookmarkEnd w:id="9"/>
    <w:bookmarkStart w:id="43"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(OH)(COONa) </w:t>
      </w:r>
      <w:r>
        <w:rPr>
          <w:rFonts w:hint="eastAsia" w:ascii="Times New Roman" w:hAnsi="Times New Roman" w:eastAsia="FangSong" w:cs="Times New Roman"/>
        </w:rPr>
        <w:t>中的羟基应是质子的给体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其中两个酰胺键氮上孤对电子占有的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咪唑环上连有甲基的氮上孤对电子在未杂化的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而另一氮上孤对电子在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氯仿</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也为极性分子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经验规律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三氯乙烷中溶解度应大于在苯中</w:t>
      </w:r>
      <w:r>
        <w:rPr>
          <w:rFonts w:hint="eastAsia" w:ascii="Times New Roman" w:hAnsi="Times New Roman" w:eastAsia="Times New Roman" w:cs="Times New Roman"/>
        </w:rPr>
        <w:t>。</w:t>
      </w:r>
      <w:r>
        <w:rPr>
          <w:rFonts w:hint="eastAsia" w:ascii="Times New Roman" w:hAnsi="Times New Roman" w:eastAsia="FangSong" w:cs="Times New Roman"/>
        </w:rPr>
        <w:t>但这与题述相矛盾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说明有其他因素在影响氯仿的溶解度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应考虑到氢键也是影响溶解度的重要因素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Cl </w:t>
      </w:r>
      <w:r>
        <w:rPr>
          <w:rFonts w:hint="eastAsia" w:ascii="Times New Roman" w:hAnsi="Times New Roman" w:eastAsia="FangSong" w:cs="Times New Roman"/>
        </w:rPr>
        <w:t>原子的强吸电子效应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C </w:t>
      </w:r>
      <w:r>
        <w:rPr>
          <w:rFonts w:hint="eastAsia" w:ascii="Times New Roman" w:hAnsi="Times New Roman" w:eastAsia="FangSong" w:cs="Times New Roman"/>
        </w:rPr>
        <w:t>原子正电性大大增强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此时氢原子可参与形成氢键</w:t>
      </w:r>
      <w:r>
        <w:rPr>
          <w:rFonts w:hint="eastAsia" w:ascii="Times New Roman" w:hAnsi="Times New Roman" w:eastAsia="Times New Roman" w:cs="Times New Roman"/>
        </w:rPr>
        <w:t>。</w:t>
      </w:r>
      <w:r>
        <w:rPr>
          <w:rFonts w:hint="eastAsia" w:ascii="Times New Roman" w:hAnsi="Times New Roman" w:eastAsia="FangSong" w:cs="Times New Roman"/>
        </w:rPr>
        <w:t>而苯环离域</w:t>
      </w:r>
      <w:r>
        <w:rPr>
          <w:rFonts w:ascii="Times New Roman" w:hAnsi="Times New Roman" w:eastAsia="Times New Roman" w:cs="Times New Roman"/>
        </w:rPr>
        <w:t xml:space="preserve"> π </w:t>
      </w:r>
      <w:r>
        <w:rPr>
          <w:rFonts w:hint="eastAsia" w:ascii="Times New Roman" w:hAnsi="Times New Roman" w:eastAsia="FangSong" w:cs="Times New Roman"/>
        </w:rPr>
        <w:t>键体系作为质子的受体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3</w:t>
      </w:r>
      <w:r>
        <w:rPr>
          <w:rFonts w:ascii="Times New Roman" w:hAnsi="Times New Roman" w:eastAsia="Times New Roman" w:cs="Times New Roman"/>
        </w:rPr>
        <w:t xml:space="preserve">C—H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X—H…π </w:t>
      </w:r>
      <w:r>
        <w:rPr>
          <w:rFonts w:hint="eastAsia" w:ascii="Times New Roman" w:hAnsi="Times New Roman" w:eastAsia="FangSong" w:cs="Times New Roman"/>
        </w:rPr>
        <w:t>氢键即芳香氢键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则羧酸的摩尔质量为</w:t>
      </w:r>
      <w:r>
        <w:rPr>
          <w:rFonts w:ascii="Times New Roman" w:hAnsi="Times New Roman" w:eastAsia="Times New Roman" w:cs="Times New Roman"/>
        </w:rPr>
        <w:t xml:space="preserve"> M = 1.2312 / [(1.20 × 18.00 ÷ 1000) / n] = </w:t>
      </w:r>
      <w:r>
        <w:rPr>
          <w:rFonts w:hint="eastAsia" w:ascii="Times New Roman" w:hAnsi="Times New Roman" w:eastAsia="Times New Roman" w:cs="Times New Roman"/>
        </w:rPr>
        <w:t>57n(g/mol)。</w:t>
      </w: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g/mol,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g/mol; 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(57-45)×n = 12n (n=1,2,3,4,…); </w:t>
      </w:r>
      <w:r>
        <w:rPr>
          <w:rFonts w:hint="eastAsia" w:ascii="Times New Roman" w:hAnsi="Times New Roman" w:eastAsia="FangSong" w:cs="Times New Roman"/>
        </w:rPr>
        <w:t xml:space="preserve">因此该基团只能是</w:t>
      </w:r>
      <w:r>
        <w:rPr>
          <w:rFonts w:ascii="Times New Roman" w:hAnsi="Times New Roman" w:eastAsia="Times New Roman" w:cs="Times New Roman"/>
        </w:rPr>
        <w:t xml:space="preserve"> n </w:t>
      </w:r>
      <w:r>
        <w:rPr>
          <w:rFonts w:hint="eastAsia" w:ascii="Times New Roman" w:hAnsi="Times New Roman" w:eastAsia="FangSong" w:cs="Times New Roman"/>
        </w:rPr>
        <w:t>个碳原子才符合题意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结构为</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hint="eastAsia" w:ascii="Times New Roman" w:hAnsi="Times New Roman" w:eastAsia="Times New Roman" w:cs="Times New Roman"/>
        </w:rPr>
        <w:t>：HOOC—C≡C—COOH，</w:t>
      </w:r>
      <w:r>
        <w:rPr>
          <w:rFonts w:hint="eastAsia" w:ascii="Times New Roman" w:hAnsi="Times New Roman" w:eastAsia="FangSong" w:cs="Times New Roman"/>
        </w:rPr>
        <w:t>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hint="eastAsia" w:ascii="Times New Roman" w:hAnsi="Times New Roman" w:eastAsia="Times New Roman" w:cs="Times New Roman"/>
        </w:rPr>
        <w:t>3</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若为四元酸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后两者非平面结构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若为五元酸</w:t>
      </w:r>
      <w:r>
        <w:rPr>
          <w:rFonts w:hint="eastAsia" w:ascii="Times New Roman" w:hAnsi="Times New Roman" w:eastAsia="Times New Roman" w:cs="Times New Roman"/>
        </w:rPr>
        <w:t>，</w:t>
      </w:r>
      <w:r>
        <w:rPr>
          <w:rFonts w:hint="eastAsia" w:ascii="Times New Roman" w:hAnsi="Times New Roman" w:eastAsia="FangSong" w:cs="Times New Roman"/>
        </w:rPr>
        <w:t>与三元酸一样不能存在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n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则不存在平面结构的羧酸</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四硝基立方烷</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个硝基取代了立方烷中的</w:t>
      </w:r>
      <w:r>
        <w:rPr>
          <w:rFonts w:hint="eastAsia" w:ascii="Times New Roman" w:hAnsi="Times New Roman" w:eastAsia="Times New Roman" w:cs="Times New Roman"/>
        </w:rPr>
        <w:t>8</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2C + 6CO↑ + 2H</w:t>
      </w:r>
      <w:r>
        <w:rPr>
          <w:rFonts w:ascii="Times New Roman" w:hAnsi="Times New Roman" w:eastAsia="Times New Roman" w:cs="Times New Roman"/>
          <w:vertAlign w:val="subscript"/>
        </w:rPr>
        <w:t>2</w:t>
      </w:r>
      <w:r>
        <w:rPr>
          <w:rFonts w:ascii="Times New Roman" w:hAnsi="Times New Roman" w:eastAsia="Times New Roman" w:cs="Times New Roman"/>
        </w:rPr>
        <w:t>O + 2N</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19 </w:t>
      </w:r>
      <w:r>
        <w:rPr>
          <w:rFonts w:hint="eastAsia" w:ascii="Times New Roman" w:hAnsi="Times New Roman" w:eastAsia="FangSong" w:cs="Times New Roman"/>
        </w:rPr>
        <w:t>种不同的氨基酸</w:t>
      </w:r>
      <w:r>
        <w:rPr>
          <w:rFonts w:hint="eastAsia" w:ascii="Times New Roman" w:hAnsi="Times New Roman" w:eastAsia="Times New Roman" w:cs="Times New Roman"/>
        </w:rPr>
        <w:t>，</w:t>
      </w:r>
      <w:r>
        <w:rPr>
          <w:rFonts w:hint="eastAsia" w:ascii="Times New Roman" w:hAnsi="Times New Roman" w:eastAsia="FangSong" w:cs="Times New Roman"/>
        </w:rPr>
        <w:t>且考虑到</w:t>
      </w:r>
      <w:r>
        <w:rPr>
          <w:rFonts w:ascii="Times New Roman" w:hAnsi="Times New Roman" w:eastAsia="Times New Roman" w:cs="Times New Roman"/>
        </w:rPr>
        <w:t xml:space="preserve"> 4 </w:t>
      </w:r>
      <w:r>
        <w:rPr>
          <w:rFonts w:hint="eastAsia" w:ascii="Times New Roman" w:hAnsi="Times New Roman" w:eastAsia="FangSong" w:cs="Times New Roman"/>
        </w:rPr>
        <w:t>个酰胺基呈四面体分布</w:t>
      </w:r>
      <w:r>
        <w:rPr>
          <w:rFonts w:hint="eastAsia" w:ascii="Times New Roman" w:hAnsi="Times New Roman" w:eastAsia="Times New Roman" w:cs="Times New Roman"/>
        </w:rPr>
        <w:t>，</w:t>
      </w:r>
      <w:r>
        <w:rPr>
          <w:rFonts w:hint="eastAsia" w:ascii="Times New Roman" w:hAnsi="Times New Roman" w:eastAsia="FangSong" w:cs="Times New Roman"/>
        </w:rPr>
        <w:t>则计算过程如下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3</w:t>
      </w:r>
      <w:r>
        <w:rPr>
          <w:rFonts w:ascii="Times New Roman" w:hAnsi="Times New Roman" w:eastAsia="Times New Roman" w:cs="Times New Roman"/>
        </w:rPr>
        <w:t xml:space="preserve">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 = 342</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19×18÷2 = 171</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17</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19×18÷2×17 = 2907</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Aabcd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19×18×17×16÷(4×3×2×1) = </w:t>
      </w:r>
      <w:r>
        <w:rPr>
          <w:rFonts w:hint="eastAsia" w:ascii="Times New Roman" w:hAnsi="Times New Roman" w:eastAsia="Times New Roman" w:cs="Times New Roman"/>
        </w:rPr>
        <w:t>3876，</w:t>
      </w:r>
      <w:r>
        <w:rPr>
          <w:rFonts w:hint="eastAsia" w:ascii="Times New Roman" w:hAnsi="Times New Roman" w:eastAsia="FangSong" w:cs="Times New Roman"/>
        </w:rPr>
        <w:t>且该种类型分子结构中没有镜面和对称中心</w:t>
      </w:r>
      <w:r>
        <w:rPr>
          <w:rFonts w:hint="eastAsia" w:ascii="Times New Roman" w:hAnsi="Times New Roman" w:eastAsia="Times New Roman" w:cs="Times New Roman"/>
        </w:rPr>
        <w:t>，</w:t>
      </w:r>
      <w:r>
        <w:rPr>
          <w:rFonts w:hint="eastAsia" w:ascii="Times New Roman" w:hAnsi="Times New Roman" w:eastAsia="FangSong" w:cs="Times New Roman"/>
        </w:rPr>
        <w:t>存在对映体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19 + 342 + 171 + 2907 + 3876×2 = 11191 </w:t>
      </w:r>
      <w:r>
        <w:rPr>
          <w:rFonts w:hint="eastAsia" w:ascii="Times New Roman" w:hAnsi="Times New Roman" w:eastAsia="FangSong" w:cs="Times New Roman"/>
        </w:rPr>
        <w:t xml:space="preserve">种</w:t>
      </w:r>
    </w:p>
    <w:p>
      <w:pPr>
        <w:pStyle w:val="Compact"/>
        <w:numPr>
          <w:ilvl w:val="0"/>
          <w:numId w:val="1004"/>
        </w:numPr>
      </w:pPr>
      <w:r>
        <w:rPr>
          <w:rFonts w:ascii="Times New Roman" w:hAnsi="Times New Roman" w:eastAsia="Times New Roman" w:cs="Times New Roman"/>
        </w:rPr>
        <w:t xml:space="preserve">Aabcd </w:t>
      </w:r>
      <w:r>
        <w:rPr>
          <w:rFonts w:hint="eastAsia" w:ascii="Times New Roman" w:hAnsi="Times New Roman" w:eastAsia="FangSong" w:cs="Times New Roman"/>
        </w:rPr>
        <w:t>型有对映异构体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3876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个硝基取代了立方烷中的</w:t>
      </w:r>
      <w:r>
        <w:rPr>
          <w:rFonts w:ascii="Times New Roman" w:hAnsi="Times New Roman" w:eastAsia="Times New Roman" w:cs="Times New Roman"/>
        </w:rPr>
        <w:t xml:space="preserve"> 8 </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8</w:t>
      </w:r>
      <w:r>
        <w:rPr>
          <w:rFonts w:ascii="Times New Roman" w:hAnsi="Times New Roman" w:eastAsia="Times New Roman" w:cs="Times New Roman"/>
        </w:rPr>
        <w:t xml:space="preserve"> = 8CO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+ 4N</w:t>
      </w:r>
      <w:r>
        <w:rPr>
          <w:rFonts w:ascii="Times New Roman" w:hAnsi="Times New Roman" w:eastAsia="Times New Roman" w:cs="Times New Roman"/>
          <w:vertAlign w:val="subscript"/>
        </w:rPr>
        <w:t>2</w:t>
      </w:r>
    </w:p>
    <w:p>
      <w:pPr/>
      <w:r>
        <w:rPr>
          <w:rFonts w:ascii="Times New Roman" w:hAnsi="Times New Roman" w:eastAsia="Times New Roman" w:cs="Times New Roman"/>
        </w:rPr>
        <w:t xml:space="preserve">① </w:t>
      </w:r>
      <w:r>
        <w:rPr>
          <w:rFonts w:hint="eastAsia" w:ascii="Times New Roman" w:hAnsi="Times New Roman" w:eastAsia="FangSong" w:cs="Times New Roman"/>
        </w:rPr>
        <w:t>八硝基立方烷分解得到的两种气体都是最稳定的化合物</w:t>
      </w:r>
      <w:r>
        <w:rPr>
          <w:rFonts w:hint="eastAsia" w:ascii="Times New Roman" w:hAnsi="Times New Roman" w:eastAsia="Times New Roman" w:cs="Times New Roman"/>
        </w:rPr>
        <w:t>，</w:t>
      </w:r>
      <w:r>
        <w:rPr>
          <w:rFonts w:hint="eastAsia" w:ascii="Times New Roman" w:hAnsi="Times New Roman" w:eastAsia="FangSong" w:cs="Times New Roman"/>
        </w:rPr>
        <w:t>且由于分解产物完全是气体</w:t>
      </w:r>
      <w:r>
        <w:rPr>
          <w:rFonts w:hint="eastAsia" w:ascii="Times New Roman" w:hAnsi="Times New Roman" w:eastAsia="Times New Roman" w:cs="Times New Roman"/>
        </w:rPr>
        <w:t>，</w:t>
      </w:r>
      <w:r>
        <w:rPr>
          <w:rFonts w:hint="eastAsia" w:ascii="Times New Roman" w:hAnsi="Times New Roman" w:eastAsia="FangSong" w:cs="Times New Roman"/>
        </w:rPr>
        <w:t>体积膨胀将引起激烈爆炸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立方烷的碳架键角只有</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远小于</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环的张力很大</w:t>
      </w:r>
      <w:r>
        <w:rPr>
          <w:rFonts w:hint="eastAsia" w:ascii="Times New Roman" w:hAnsi="Times New Roman" w:eastAsia="Times New Roman" w:cs="Times New Roman"/>
        </w:rPr>
        <w:t>，</w:t>
      </w:r>
      <w:r>
        <w:rPr>
          <w:rFonts w:hint="eastAsia" w:ascii="Times New Roman" w:hAnsi="Times New Roman" w:eastAsia="FangSong" w:cs="Times New Roman"/>
        </w:rPr>
        <w:t>因而八硝基立方烷是一种高能化合物</w:t>
      </w:r>
      <w:r>
        <w:rPr>
          <w:rFonts w:hint="eastAsia" w:ascii="Times New Roman" w:hAnsi="Times New Roman" w:eastAsia="Times New Roman" w:cs="Times New Roman"/>
        </w:rPr>
        <w:t>，</w:t>
      </w:r>
      <w:r>
        <w:rPr>
          <w:rFonts w:hint="eastAsia" w:ascii="Times New Roman" w:hAnsi="Times New Roman" w:eastAsia="FangSong" w:cs="Times New Roman"/>
        </w:rPr>
        <w:t>分解时将释放大量能量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07"/>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8"/>
        </w:numPr>
      </w:pPr>
      <w:r>
        <w:rPr>
          <w:rFonts w:ascii="Times New Roman" w:hAnsi="Times New Roman" w:eastAsia="Times New Roman" w:cs="Times New Roman"/>
        </w:rPr>
        <w:t>21</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9261</w:t>
      </w:r>
    </w:p>
    <w:p>
      <w:pPr>
        <w:numPr>
          <w:ilvl w:val="0"/>
          <w:numId w:val="1008"/>
        </w:numPr>
      </w:pPr>
      <w:r>
        <w:rPr>
          <w:rFonts w:hint="eastAsia" w:ascii="Times New Roman" w:hAnsi="Times New Roman" w:eastAsia="FangSong" w:cs="Times New Roman"/>
        </w:rPr>
        <w:t>实验设计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每次减少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个氨基酸用</w:t>
      </w:r>
      <w:r>
        <w:rPr>
          <w:rFonts w:ascii="Times New Roman" w:hAnsi="Times New Roman" w:eastAsia="Times New Roman" w:cs="Times New Roman"/>
        </w:rPr>
        <w:t xml:space="preserve"> 20 </w:t>
      </w:r>
      <w:r>
        <w:rPr>
          <w:rFonts w:hint="eastAsia" w:ascii="Times New Roman" w:hAnsi="Times New Roman" w:eastAsia="FangSong" w:cs="Times New Roman"/>
        </w:rPr>
        <w:t>个氨基酸进行同上组合反应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若发现所得库没有生物活性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即可知被减去的氨基酸是活性肽的组分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若前三次实验发现所得库均无生物活性</w:t>
      </w:r>
      <w:r>
        <w:rPr>
          <w:rFonts w:hint="eastAsia" w:ascii="Times New Roman" w:hAnsi="Times New Roman" w:eastAsia="Times New Roman" w:cs="Times New Roman"/>
        </w:rPr>
        <w:t>，</w:t>
      </w:r>
      <w:r>
        <w:rPr>
          <w:rFonts w:hint="eastAsia" w:ascii="Times New Roman" w:hAnsi="Times New Roman" w:eastAsia="FangSong" w:cs="Times New Roman"/>
        </w:rPr>
        <w:t>则可知被减去的三种氨基酸是活性肽的组成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最少只需进行</w:t>
      </w:r>
      <w:r>
        <w:rPr>
          <w:rFonts w:hint="eastAsia" w:ascii="Times New Roman" w:hAnsi="Times New Roman" w:eastAsia="Times New Roman" w:cs="Times New Roman"/>
        </w:rPr>
        <w:t>3</w:t>
      </w:r>
      <w:r>
        <w:rPr>
          <w:rFonts w:hint="eastAsia" w:ascii="Times New Roman" w:hAnsi="Times New Roman" w:eastAsia="FangSong" w:cs="Times New Roman"/>
        </w:rPr>
        <w:t>次实验就可完成实验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设右起第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w:t>
      </w:r>
      <w:r>
        <w:rPr>
          <w:rFonts w:hint="eastAsia" w:ascii="Times New Roman" w:hAnsi="Times New Roman" w:eastAsia="FangSong" w:cs="Times New Roman"/>
        </w:rPr>
        <w:t xml:space="preserve">而右起第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- 1,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 </w:t>
      </w:r>
      <w:r>
        <w:rPr>
          <w:rFonts w:hint="eastAsia" w:ascii="Times New Roman" w:hAnsi="Times New Roman" w:eastAsia="Times New Roman" w:cs="Times New Roman"/>
        </w:rPr>
        <w:t>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1542</w:t>
      </w:r>
    </w:p>
    <w:p>
      <w:pPr>
        <w:pStyle w:val="BodyText"/>
      </w:pPr>
      <w:r>
        <w:rPr>
          <w:rFonts w:ascii="Times New Roman" w:hAnsi="Times New Roman" w:eastAsia="Times New Roman" w:cs="Times New Roman"/>
        </w:rPr>
        <w:t xml:space="preserve">[M + (Z - 1)] / (Z - 1) = 1696</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16951, Z = 11</w:t>
      </w:r>
    </w:p>
    <w:p>
      <w:pPr>
        <w:pStyle w:val="BodyText"/>
      </w:pPr>
      <w:r>
        <w:rPr>
          <w:rFonts w:hint="eastAsia" w:ascii="Times New Roman" w:hAnsi="Times New Roman" w:eastAsia="FangSong" w:cs="Times New Roman"/>
        </w:rPr>
        <w:t>或设右起第</w:t>
      </w:r>
      <w:r>
        <w:rPr>
          <w:rFonts w:hint="eastAsia" w:ascii="Times New Roman" w:hAnsi="Times New Roman" w:eastAsia="Times New Roman" w:cs="Times New Roman"/>
        </w:rPr>
        <w:t>3</w:t>
      </w:r>
      <w:r>
        <w:rPr>
          <w:rFonts w:hint="eastAsia" w:ascii="Times New Roman" w:hAnsi="Times New Roman" w:eastAsia="FangSong" w:cs="Times New Roman"/>
        </w:rPr>
        <w:t>峰质子化肌红朊的电荷数为</w:t>
      </w:r>
      <w:r>
        <w:rPr>
          <w:rFonts w:hint="eastAsia" w:ascii="Times New Roman" w:hAnsi="Times New Roman" w:eastAsia="Times New Roman" w:cs="Times New Roman"/>
        </w:rPr>
        <w:t>Z，</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w:t>
      </w:r>
      <w:r>
        <w:rPr>
          <w:rFonts w:hint="eastAsia" w:ascii="Times New Roman" w:hAnsi="Times New Roman" w:eastAsia="FangSong" w:cs="Times New Roman"/>
        </w:rPr>
        <w:t>而右起第</w:t>
      </w:r>
      <w:r>
        <w:rPr>
          <w:rFonts w:hint="eastAsia" w:ascii="Times New Roman" w:hAnsi="Times New Roman" w:eastAsia="Times New Roman" w:cs="Times New Roman"/>
        </w:rPr>
        <w:t>4</w:t>
      </w:r>
      <w:r>
        <w:rPr>
          <w:rFonts w:hint="eastAsia" w:ascii="Times New Roman" w:hAnsi="Times New Roman" w:eastAsia="FangSong" w:cs="Times New Roman"/>
        </w:rPr>
        <w:t>峰质子化肌红朊的电荷数为</w:t>
      </w:r>
      <w:r>
        <w:rPr>
          <w:rFonts w:ascii="Times New Roman" w:hAnsi="Times New Roman" w:eastAsia="Times New Roman" w:cs="Times New Roman"/>
        </w:rPr>
        <w:t xml:space="preserve"> </w:t>
      </w:r>
      <w:r>
        <w:rPr>
          <w:rFonts w:hint="eastAsia" w:ascii="Times New Roman" w:hAnsi="Times New Roman" w:eastAsia="Times New Roman" w:cs="Times New Roman"/>
        </w:rPr>
        <w:t>Z+1，</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1696</w:t>
      </w:r>
    </w:p>
    <w:p>
      <w:pPr>
        <w:pStyle w:val="BodyText"/>
      </w:pPr>
      <w:r>
        <w:rPr>
          <w:rFonts w:ascii="Times New Roman" w:hAnsi="Times New Roman" w:eastAsia="Times New Roman" w:cs="Times New Roman"/>
        </w:rPr>
        <w:t xml:space="preserve">[M + (Z + 1)] / (Z + 1) = 1542</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16950, Z = 10</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肌红朊的相对分子质量为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16951(</w:t>
      </w:r>
      <w:r>
        <w:rPr>
          <w:rFonts w:hint="eastAsia" w:ascii="Times New Roman" w:hAnsi="Times New Roman" w:eastAsia="FangSong" w:cs="Times New Roman"/>
        </w:rPr>
        <w:t>或</w:t>
      </w:r>
      <w:r>
        <w:rPr>
          <w:rFonts w:ascii="Times New Roman" w:hAnsi="Times New Roman" w:eastAsia="Times New Roman" w:cs="Times New Roman"/>
        </w:rPr>
        <w:t xml:space="preserve"> 16950)。</w:t>
      </w:r>
    </w:p>
    <w:p>
      <w:pPr>
        <w:spacing w:before="160" w:after="80"/>
      </w:pPr>
      <w:r>
        <w:pict>
          <v:rect style="width:0;height:1.5pt" o:hralign="center" o:hrstd="t" o:hr="t"/>
        </w:pict>
      </w:r>
    </w:p>
    <w:p>
      <w:pPr>
        <w:spacing w:before="160" w:after="80"/>
      </w:pPr>
      <w:r>
        <w:pict>
          <v:rect style="width:0;height:1.5pt" o:hralign="center" o:hrstd="t" o:hr="t"/>
        </w:pict>
      </w:r>
    </w:p>
    <w:bookmarkEnd w:id="15"/>
    <w:bookmarkStart w:id="3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9"/>
        </w:numPr>
        <w:spacing w:before="160" w:after="80"/>
        <w:jc w:val="center"/>
      </w:pPr>
      <w:r>
        <w:rPr>
          <w:rFonts w:ascii="Times New Roman" w:hAnsi="Times New Roman" w:eastAsia="Times New Roman" w:cs="Times New Roman"/>
        </w:rPr>
        <w:drawing>
          <wp:inline>
            <wp:extent cx="2057400" cy="1523518"/>
            <wp:effectExtent b="0" l="0" r="0" t="0"/>
            <wp:docPr descr="" title="" id="17" name="Picture"/>
            <a:graphic>
              <a:graphicData uri="http://schemas.openxmlformats.org/drawingml/2006/picture">
                <pic:pic>
                  <pic:nvPicPr>
                    <pic:cNvPr descr="121406387fbb814afba04271de42f9a59eeaab699eaa139b863f8646e7e9b21b.jpg" id="18" name="Picture"/>
                    <pic:cNvPicPr>
                      <a:picLocks noChangeArrowheads="1" noChangeAspect="1"/>
                    </pic:cNvPicPr>
                  </pic:nvPicPr>
                  <pic:blipFill>
                    <a:blip r:embed="rId16"/>
                    <a:stretch>
                      <a:fillRect/>
                    </a:stretch>
                  </pic:blipFill>
                  <pic:spPr bwMode="auto">
                    <a:xfrm>
                      <a:off x="0" y="0"/>
                      <a:ext cx="2057400" cy="1523518"/>
                    </a:xfrm>
                    <a:prstGeom prst="rect">
                      <a:avLst/>
                    </a:prstGeom>
                    <a:noFill/>
                    <a:ln w="9525">
                      <a:noFill/>
                      <a:headEnd/>
                      <a:tailEnd/>
                    </a:ln>
                  </pic:spPr>
                </pic:pic>
              </a:graphicData>
            </a:graphic>
          </wp:inline>
        </w:drawing>
      </w:r>
    </w:p>
    <w:p>
      <w:pPr>
        <w:numPr>
          <w:ilvl w:val="0"/>
          <w:numId w:val="1009"/>
        </w:numPr>
        <w:spacing w:before="160" w:after="80"/>
        <w:jc w:val="center"/>
      </w:pPr>
      <w:r>
        <w:rPr>
          <w:rFonts w:ascii="Times New Roman" w:hAnsi="Times New Roman" w:eastAsia="Times New Roman" w:cs="Times New Roman"/>
        </w:rPr>
        <w:drawing>
          <wp:inline>
            <wp:extent cx="1638300" cy="1411868"/>
            <wp:effectExtent b="0" l="0" r="0" t="0"/>
            <wp:docPr descr="" title="" id="20" name="Picture"/>
            <a:graphic>
              <a:graphicData uri="http://schemas.openxmlformats.org/drawingml/2006/picture">
                <pic:pic>
                  <pic:nvPicPr>
                    <pic:cNvPr descr="9ebfbdac3bc124ecde44459c8613a39006919bdc6fa8b101d788402f56bc3c02.jpg" id="21" name="Picture"/>
                    <pic:cNvPicPr>
                      <a:picLocks noChangeArrowheads="1" noChangeAspect="1"/>
                    </pic:cNvPicPr>
                  </pic:nvPicPr>
                  <pic:blipFill>
                    <a:blip r:embed="rId19"/>
                    <a:stretch>
                      <a:fillRect/>
                    </a:stretch>
                  </pic:blipFill>
                  <pic:spPr bwMode="auto">
                    <a:xfrm>
                      <a:off x="0" y="0"/>
                      <a:ext cx="1638300" cy="1411868"/>
                    </a:xfrm>
                    <a:prstGeom prst="rect">
                      <a:avLst/>
                    </a:prstGeom>
                    <a:noFill/>
                    <a:ln w="9525">
                      <a:noFill/>
                      <a:headEnd/>
                      <a:tailEnd/>
                    </a:ln>
                  </pic:spPr>
                </pic:pic>
              </a:graphicData>
            </a:graphic>
          </wp:inline>
        </w:drawing>
      </w:r>
    </w:p>
    <w:p>
      <w:pPr>
        <w:numPr>
          <w:ilvl w:val="0"/>
          <w:numId w:val="1009"/>
        </w:numPr>
        <w:spacing w:before="160" w:after="80"/>
        <w:jc w:val="center"/>
      </w:pPr>
      <w:r>
        <w:rPr>
          <w:rFonts w:ascii="Times New Roman" w:hAnsi="Times New Roman" w:eastAsia="Times New Roman" w:cs="Times New Roman"/>
        </w:rPr>
        <w:drawing>
          <wp:inline>
            <wp:extent cx="2095500" cy="1542699"/>
            <wp:effectExtent b="0" l="0" r="0" t="0"/>
            <wp:docPr descr="" title="" id="23" name="Picture"/>
            <a:graphic>
              <a:graphicData uri="http://schemas.openxmlformats.org/drawingml/2006/picture">
                <pic:pic>
                  <pic:nvPicPr>
                    <pic:cNvPr descr="137d8f6caff3c9da2f219116731c7874f166869cafb794dffb95e85b8201345a.jpg" id="24" name="Picture"/>
                    <pic:cNvPicPr>
                      <a:picLocks noChangeArrowheads="1" noChangeAspect="1"/>
                    </pic:cNvPicPr>
                  </pic:nvPicPr>
                  <pic:blipFill>
                    <a:blip r:embed="rId22"/>
                    <a:stretch>
                      <a:fillRect/>
                    </a:stretch>
                  </pic:blipFill>
                  <pic:spPr bwMode="auto">
                    <a:xfrm>
                      <a:off x="0" y="0"/>
                      <a:ext cx="2095500" cy="1542699"/>
                    </a:xfrm>
                    <a:prstGeom prst="rect">
                      <a:avLst/>
                    </a:prstGeom>
                    <a:noFill/>
                    <a:ln w="9525">
                      <a:noFill/>
                      <a:headEnd/>
                      <a:tailEnd/>
                    </a:ln>
                  </pic:spPr>
                </pic:pic>
              </a:graphicData>
            </a:graphic>
          </wp:inline>
        </w:drawing>
      </w:r>
    </w:p>
    <w:p>
      <w:pPr>
        <w:numPr>
          <w:ilvl w:val="0"/>
          <w:numId w:val="1009"/>
        </w:numPr>
        <w:spacing w:before="160" w:after="80"/>
        <w:jc w:val="center"/>
      </w:pPr>
      <w:r>
        <w:rPr>
          <w:rFonts w:ascii="Times New Roman" w:hAnsi="Times New Roman" w:eastAsia="Times New Roman" w:cs="Times New Roman"/>
        </w:rPr>
        <w:drawing>
          <wp:inline>
            <wp:extent cx="2616200" cy="1268857"/>
            <wp:effectExtent b="0" l="0" r="0" t="0"/>
            <wp:docPr descr="" title="" id="26" name="Picture"/>
            <a:graphic>
              <a:graphicData uri="http://schemas.openxmlformats.org/drawingml/2006/picture">
                <pic:pic>
                  <pic:nvPicPr>
                    <pic:cNvPr descr="798ddb25f9c34e236d1a3fc1dd6e6721112b1efc1a8f3129d81fbb80d5899119.jpg" id="27" name="Picture"/>
                    <pic:cNvPicPr>
                      <a:picLocks noChangeArrowheads="1" noChangeAspect="1"/>
                    </pic:cNvPicPr>
                  </pic:nvPicPr>
                  <pic:blipFill>
                    <a:blip r:embed="rId25"/>
                    <a:stretch>
                      <a:fillRect/>
                    </a:stretch>
                  </pic:blipFill>
                  <pic:spPr bwMode="auto">
                    <a:xfrm>
                      <a:off x="0" y="0"/>
                      <a:ext cx="2616200" cy="1268857"/>
                    </a:xfrm>
                    <a:prstGeom prst="rect">
                      <a:avLst/>
                    </a:prstGeom>
                    <a:noFill/>
                    <a:ln w="9525">
                      <a:noFill/>
                      <a:headEnd/>
                      <a:tailEnd/>
                    </a:ln>
                  </pic:spPr>
                </pic:pic>
              </a:graphicData>
            </a:graphic>
          </wp:inline>
        </w:drawing>
      </w:r>
    </w:p>
    <w:p>
      <w:pPr>
        <w:numPr>
          <w:ilvl w:val="0"/>
          <w:numId w:val="1009"/>
        </w:numPr>
        <w:spacing w:before="160" w:after="80"/>
        <w:jc w:val="center"/>
      </w:pPr>
      <w:r>
        <w:rPr>
          <w:rFonts w:ascii="Times New Roman" w:hAnsi="Times New Roman" w:eastAsia="Times New Roman" w:cs="Times New Roman"/>
        </w:rPr>
        <w:drawing>
          <wp:inline>
            <wp:extent cx="2590800" cy="906780"/>
            <wp:effectExtent b="0" l="0" r="0" t="0"/>
            <wp:docPr descr="" title="" id="29" name="Picture"/>
            <a:graphic>
              <a:graphicData uri="http://schemas.openxmlformats.org/drawingml/2006/picture">
                <pic:pic>
                  <pic:nvPicPr>
                    <pic:cNvPr descr="4e4fa37cd496385737580291103efe132cd0105ec4047fbcb41443552a4072cf.jpg" id="30" name="Picture"/>
                    <pic:cNvPicPr>
                      <a:picLocks noChangeArrowheads="1" noChangeAspect="1"/>
                    </pic:cNvPicPr>
                  </pic:nvPicPr>
                  <pic:blipFill>
                    <a:blip r:embed="rId28"/>
                    <a:stretch>
                      <a:fillRect/>
                    </a:stretch>
                  </pic:blipFill>
                  <pic:spPr bwMode="auto">
                    <a:xfrm>
                      <a:off x="0" y="0"/>
                      <a:ext cx="2590800" cy="906780"/>
                    </a:xfrm>
                    <a:prstGeom prst="rect">
                      <a:avLst/>
                    </a:prstGeom>
                    <a:noFill/>
                    <a:ln w="9525">
                      <a:noFill/>
                      <a:headEnd/>
                      <a:tailEnd/>
                    </a:ln>
                  </pic:spPr>
                </pic:pic>
              </a:graphicData>
            </a:graphic>
          </wp:inline>
        </w:drawing>
      </w:r>
    </w:p>
    <w:p>
      <w:pPr>
        <w:numPr>
          <w:ilvl w:val="0"/>
          <w:numId w:val="1009"/>
        </w:numPr>
        <w:spacing w:before="160" w:after="80"/>
        <w:jc w:val="center"/>
      </w:pPr>
      <w:r>
        <w:rPr>
          <w:rFonts w:ascii="Times New Roman" w:hAnsi="Times New Roman" w:eastAsia="Times New Roman" w:cs="Times New Roman"/>
        </w:rPr>
        <w:drawing>
          <wp:inline>
            <wp:extent cx="3187700" cy="1464269"/>
            <wp:effectExtent b="0" l="0" r="0" t="0"/>
            <wp:docPr descr="" title="" id="32" name="Picture"/>
            <a:graphic>
              <a:graphicData uri="http://schemas.openxmlformats.org/drawingml/2006/picture">
                <pic:pic>
                  <pic:nvPicPr>
                    <pic:cNvPr descr="aecfca843a24f39717022c7e959bd227561185d0457ca8bba976d8c06fa8a455.jpg" id="33" name="Picture"/>
                    <pic:cNvPicPr>
                      <a:picLocks noChangeArrowheads="1" noChangeAspect="1"/>
                    </pic:cNvPicPr>
                  </pic:nvPicPr>
                  <pic:blipFill>
                    <a:blip r:embed="rId31"/>
                    <a:stretch>
                      <a:fillRect/>
                    </a:stretch>
                  </pic:blipFill>
                  <pic:spPr bwMode="auto">
                    <a:xfrm>
                      <a:off x="0" y="0"/>
                      <a:ext cx="3187700" cy="1464269"/>
                    </a:xfrm>
                    <a:prstGeom prst="rect">
                      <a:avLst/>
                    </a:prstGeom>
                    <a:noFill/>
                    <a:ln w="9525">
                      <a:noFill/>
                      <a:headEnd/>
                      <a:tailEnd/>
                    </a:ln>
                  </pic:spPr>
                </pic:pic>
              </a:graphicData>
            </a:graphic>
          </wp:inline>
        </w:drawing>
      </w:r>
    </w:p>
    <w:p>
      <w:pPr>
        <w:numPr>
          <w:ilvl w:val="0"/>
          <w:numId w:val="1009"/>
        </w:numPr>
        <w:spacing w:before="160" w:after="80"/>
        <w:jc w:val="center"/>
      </w:pPr>
      <w:r>
        <w:rPr>
          <w:rFonts w:ascii="Times New Roman" w:hAnsi="Times New Roman" w:eastAsia="Times New Roman" w:cs="Times New Roman"/>
        </w:rPr>
        <w:drawing>
          <wp:inline>
            <wp:extent cx="1447800" cy="1301692"/>
            <wp:effectExtent b="0" l="0" r="0" t="0"/>
            <wp:docPr descr="" title="" id="35" name="Picture"/>
            <a:graphic>
              <a:graphicData uri="http://schemas.openxmlformats.org/drawingml/2006/picture">
                <pic:pic>
                  <pic:nvPicPr>
                    <pic:cNvPr descr="aa1b57225f50409c55941b50ef50878b48ceecda941ce3a1e5a4d6423315190c.jpg" id="36" name="Picture"/>
                    <pic:cNvPicPr>
                      <a:picLocks noChangeArrowheads="1" noChangeAspect="1"/>
                    </pic:cNvPicPr>
                  </pic:nvPicPr>
                  <pic:blipFill>
                    <a:blip r:embed="rId34"/>
                    <a:stretch>
                      <a:fillRect/>
                    </a:stretch>
                  </pic:blipFill>
                  <pic:spPr bwMode="auto">
                    <a:xfrm>
                      <a:off x="0" y="0"/>
                      <a:ext cx="1447800" cy="130169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一般可通过分子中是否具有对称面或对称中心来判断该分子是否有光学活性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(1)、(2)、(3)、(5)、(9)、(10)、(11)、(14)、(15)、(16)</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(4)、(6)、(7)、(8)、(12)、(13)、(17)</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有光学活性</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07608"/>
            <wp:effectExtent b="0" l="0" r="0" t="0"/>
            <wp:docPr descr="" title="" id="39" name="Picture"/>
            <a:graphic>
              <a:graphicData uri="http://schemas.openxmlformats.org/drawingml/2006/picture">
                <pic:pic>
                  <pic:nvPicPr>
                    <pic:cNvPr descr="ee4aea43545b1e38aaee6cf602698109809c0bd993e18ddd4b22780c07ecd773.jpg" id="40" name="Picture"/>
                    <pic:cNvPicPr>
                      <a:picLocks noChangeArrowheads="1" noChangeAspect="1"/>
                    </pic:cNvPicPr>
                  </pic:nvPicPr>
                  <pic:blipFill>
                    <a:blip r:embed="rId38"/>
                    <a:stretch>
                      <a:fillRect/>
                    </a:stretch>
                  </pic:blipFill>
                  <pic:spPr bwMode="auto">
                    <a:xfrm>
                      <a:off x="0" y="0"/>
                      <a:ext cx="3111500" cy="16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费歇尔投影式及构型标注见原书答案图示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1"/>
    <w:bookmarkStart w:id="4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10"/>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10"/>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10"/>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C</w:t>
      </w:r>
      <w:r>
        <w:rPr>
          <w:rFonts w:ascii="Times New Roman" w:hAnsi="Times New Roman" w:eastAsia="Times New Roman" w:cs="Times New Roman"/>
          <w:vertAlign w:val="subscript"/>
        </w:rPr>
        <w:t>53</w:t>
      </w:r>
      <w:r>
        <w:rPr>
          <w:rFonts w:ascii="Times New Roman" w:hAnsi="Times New Roman" w:eastAsia="Times New Roman" w:cs="Times New Roman"/>
        </w:rPr>
        <w:t>H</w:t>
      </w:r>
      <w:r>
        <w:rPr>
          <w:rFonts w:ascii="Times New Roman" w:hAnsi="Times New Roman" w:eastAsia="Times New Roman" w:cs="Times New Roman"/>
          <w:vertAlign w:val="subscript"/>
        </w:rPr>
        <w:t>108</w:t>
      </w:r>
    </w:p>
    <w:p>
      <w:pPr>
        <w:numPr>
          <w:ilvl w:val="0"/>
          <w:numId w:val="1011"/>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×3^(n-1)-1 H</w:t>
      </w:r>
      <w:r>
        <w:rPr>
          <w:rFonts w:ascii="Times New Roman" w:hAnsi="Times New Roman" w:eastAsia="Times New Roman" w:cs="Times New Roman"/>
          <w:vertAlign w:val="subscript"/>
        </w:rPr>
        <w:t>4</w:t>
      </w:r>
      <w:r>
        <w:rPr>
          <w:rFonts w:ascii="Times New Roman" w:hAnsi="Times New Roman" w:eastAsia="Times New Roman" w:cs="Times New Roman"/>
        </w:rPr>
        <w:t>×3^(n-1) (n=1,2,3,4…)</w:t>
      </w:r>
    </w:p>
    <w:p>
      <w:pPr>
        <w:numPr>
          <w:ilvl w:val="0"/>
          <w:numId w:val="1011"/>
        </w:numPr>
      </w:pPr>
      <w:r>
        <w:rPr>
          <w:rFonts w:ascii="Times New Roman" w:hAnsi="Times New Roman" w:eastAsia="Times New Roman" w:cs="Times New Roman"/>
        </w:rPr>
        <w:t xml:space="preserve">lim(n→∞) [12×(2×3^(n-1) - 1)] / [12×(2×3^(n-1) - 1) + 4×3^(n-1)] = 85.7%</w:t>
      </w:r>
    </w:p>
    <w:p>
      <w:pPr>
        <w:numPr>
          <w:ilvl w:val="0"/>
          <w:numId w:val="1011"/>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×3^(n-1)-1 H</w:t>
      </w:r>
      <w:r>
        <w:rPr>
          <w:rFonts w:ascii="Times New Roman" w:hAnsi="Times New Roman" w:eastAsia="Times New Roman" w:cs="Times New Roman"/>
          <w:vertAlign w:val="subscript"/>
        </w:rPr>
        <w:t>6</w:t>
      </w:r>
      <w:r>
        <w:rPr>
          <w:rFonts w:ascii="Times New Roman" w:hAnsi="Times New Roman" w:eastAsia="Times New Roman" w:cs="Times New Roman"/>
        </w:rPr>
        <w:t>×3^(n-1) (n=1,2,3,4…)</w:t>
      </w:r>
    </w:p>
    <w:p>
      <w:pPr>
        <w:numPr>
          <w:ilvl w:val="0"/>
          <w:numId w:val="1011"/>
        </w:numPr>
      </w:pP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这两系列烷烃没有相同的分子式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2"/>
    <w:bookmarkEnd w:id="43"/>
    <w:bookmarkEnd w:id="4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22" Type="http://schemas.openxmlformats.org/officeDocument/2006/relationships/image" Target="media/rId22.jpg"/><Relationship Id="rId28" Type="http://schemas.openxmlformats.org/officeDocument/2006/relationships/image" Target="media/rId28.jpg"/><Relationship Id="rId25" Type="http://schemas.openxmlformats.org/officeDocument/2006/relationships/image" Target="media/rId25.jpg"/><Relationship Id="rId19" Type="http://schemas.openxmlformats.org/officeDocument/2006/relationships/image" Target="media/rId19.jpg"/><Relationship Id="rId34" Type="http://schemas.openxmlformats.org/officeDocument/2006/relationships/image" Target="media/rId34.jpg"/><Relationship Id="rId31" Type="http://schemas.openxmlformats.org/officeDocument/2006/relationships/image" Target="media/rId31.jp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2026-09-18T16:33:22Z</dcterms:created>
  <dcterms:modified xsi:type="dcterms:W3CDTF">2026-09-18T16:33:22Z</dcterms:modified>
</cp:coreProperties>
</file>

<file path=docProps/custom.xml><?xml version="1.0" encoding="utf-8"?>
<Properties xmlns="http://schemas.openxmlformats.org/officeDocument/2006/custom-properties" xmlns:vt="http://schemas.openxmlformats.org/officeDocument/2006/docPropsVTypes"/>
</file>