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结构化学阶段测试卷"/>
    <w:p>
      <w:pPr>
        <w:pStyle w:val="Heading1"/>
        <w:spacing w:before="280" w:after="120"/>
        <w:jc w:val="center"/>
      </w:pPr>
      <w:r>
        <w:rPr>
          <w:rFonts w:hint="eastAsia" w:ascii="Times New Roman" w:hAnsi="Times New Roman" w:eastAsia="SimHei" w:cs="Times New Roman"/>
        </w:rPr>
        <w:t xml:space="preserve">结构化学阶段测试卷</w:t>
      </w:r>
    </w:p>
    <w:p>
      <w:pPr>
        <w:spacing w:before="160" w:after="80"/>
      </w:pPr>
      <w:r>
        <w:pict>
          <v:rect style="width:0;height:1.5pt" o:hralign="center" o:hrstd="t" o:hr="t"/>
        </w:pict>
      </w:r>
    </w:p>
    <w:bookmarkStart w:id="9" w:name="结构化学基础16-题"/>
    <w:p>
      <w:pPr>
        <w:pStyle w:val="Heading2"/>
        <w:spacing w:before="280" w:after="120"/>
      </w:pPr>
      <w:r>
        <w:rPr>
          <w:rFonts w:hint="eastAsia" w:ascii="Times New Roman" w:hAnsi="Times New Roman" w:eastAsia="SimHei" w:cs="Times New Roman"/>
        </w:rPr>
        <w:t>结构化学基础</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5.37</w:t>
      </w:r>
    </w:p>
    <w:p>
      <w:pPr>
        <w:pStyle w:val="FirstParagraph"/>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03"/>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r>
            <m:rPr>
              <m:sty m:val="p"/>
            </m:rPr>
            <m:t>(</m:t>
          </m:r>
          <m:r>
            <m:t>1</m:t>
          </m:r>
          <m:r>
            <m:rPr>
              <m:sty m:val="p"/>
            </m:rPr>
            <m:t>−</m:t>
          </m:r>
          <m:f>
            <m:fPr>
              <m:type m:val="bar"/>
            </m:fPr>
            <m:num>
              <m:r>
                <m:t>ρ</m:t>
              </m:r>
            </m:num>
            <m:den>
              <m:sSub>
                <m:e>
                  <m:r>
                    <m:t>r</m:t>
                  </m:r>
                </m:e>
                <m:sub>
                  <m:r>
                    <m:rPr>
                      <m:sty m:val="p"/>
                    </m:rPr>
                    <m:t>e</m:t>
                  </m:r>
                </m:sub>
              </m:sSub>
            </m:den>
          </m:f>
          <m:r>
            <m:rPr>
              <m:sty m:val="p"/>
            </m:rPr>
            <m:t>)</m:t>
          </m:r>
          <m:r>
            <m:t>  </m:t>
          </m:r>
          <m:r>
            <m:rPr>
              <m:sty m:val="p"/>
            </m:rPr>
            <m:t>(</m:t>
          </m:r>
          <m:r>
            <m:t>ρ</m:t>
          </m:r>
          <m:r>
            <m:rPr>
              <m:sty m:val="p"/>
            </m:rPr>
            <m:t>=</m:t>
          </m:r>
          <m:r>
            <m:t>0.31</m:t>
          </m:r>
          <m:r>
            <m:rPr>
              <m:sty m:val="p"/>
            </m:rPr>
            <m:t>×</m:t>
          </m:r>
          <m:sSup>
            <m:e>
              <m:r>
                <m:t>10</m:t>
              </m:r>
            </m:e>
            <m:sup>
              <m:r>
                <m:rPr>
                  <m:sty m:val="p"/>
                </m:rPr>
                <m:t>−</m:t>
              </m:r>
              <m:r>
                <m:t>10</m:t>
              </m:r>
            </m:sup>
          </m:sSup>
          <m:r>
            <m:rPr>
              <m:sty m:val="p"/>
            </m:rPr>
            <m:t>m</m:t>
          </m:r>
          <m:r>
            <m:rPr>
              <m:sty m:val="p"/>
            </m:rPr>
            <m:t>)</m:t>
          </m:r>
        </m:oMath>
      </m:oMathPara>
    </w:p>
    <w:p>
      <w:pPr>
        <w:pStyle w:val="Compact"/>
        <w:numPr>
          <w:ilvl w:val="0"/>
          <w:numId w:val="100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w:t>
      </w:r>
      <m:oMath>
        <m:sSub>
          <m:e>
            <m:r>
              <m:t>Y</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3.27</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HeI (21.22 eV) </w:t>
      </w:r>
      <w:r>
        <w:rPr>
          <w:rFonts w:hint="eastAsia" w:ascii="Times New Roman" w:hAnsi="Times New Roman" w:eastAsia="FangSong" w:cs="Times New Roman"/>
        </w:rPr>
        <w:t>作为激发源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个分子轨道的电子电离所得光电子动能为多少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3.6.3 </w:t>
      </w:r>
      <w:r>
        <w:rPr>
          <w:rFonts w:hint="eastAsia" w:ascii="Times New Roman" w:hAnsi="Times New Roman" w:eastAsia="FangSong" w:cs="Times New Roman"/>
        </w:rPr>
        <w:t xml:space="preserve">估计</w:t>
      </w:r>
    </w:p>
    <w:p>
      <w:pPr>
        <w:spacing w:before="0" w:after="0"/>
      </w:pPr>
    </w:p>
    <w:p>
      <w:pPr>
        <w:spacing w:before="0" w:after="0"/>
      </w:pPr>
    </w:p>
    <w:p>
      <w:pPr>
        <w:spacing w:before="0" w:after="0"/>
      </w:pP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0" w:after="0"/>
      </w:pPr>
    </w:p>
    <w:p>
      <w:pPr>
        <w:spacing w:before="0" w:after="0"/>
      </w:pPr>
    </w:p>
    <w:p>
      <w:pPr>
        <w:spacing w:before="0" w:after="0"/>
      </w:pPr>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06"/>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d</m:t>
            </m:r>
          </m:e>
          <m:sub>
            <m:r>
              <m:t>002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7"/>
    <w:bookmarkStart w:id="1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F</m:t>
        </m:r>
        <m:r>
          <m:t>e</m:t>
        </m:r>
        <m:sSubSup>
          <m:e>
            <m:r>
              <m:t>F</m:t>
            </m:r>
          </m:e>
          <m:sub>
            <m:r>
              <m:t>6</m:t>
            </m:r>
          </m:sub>
          <m:sup>
            <m:r>
              <m:t>3</m:t>
            </m:r>
            <m:r>
              <m:rPr>
                <m:sty m:val="p"/>
              </m:rPr>
              <m:t>−</m:t>
            </m:r>
          </m:sup>
        </m:sSubSup>
      </m:oMath>
    </w:p>
    <w:p>
      <w:pPr>
        <w:spacing w:before="0" w:after="0"/>
      </w:pPr>
    </w:p>
    <w:p>
      <w:pPr>
        <w:spacing w:before="0" w:after="0"/>
      </w:pPr>
    </w:p>
    <w:p>
      <w:pPr>
        <w:spacing w:before="0" w:after="0"/>
      </w:pPr>
    </w:p>
    <w:p>
      <w:pPr>
        <w:spacing w:before="0" w:after="0"/>
      </w:pPr>
    </w:p>
    <w:p>
      <w:pPr>
        <w:spacing w:before="0" w:after="0"/>
      </w:pPr>
    </w:p>
    <w:bookmarkEnd w:id="18"/>
    <w:bookmarkStart w:id="1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0" w:after="0"/>
      </w:pPr>
    </w:p>
    <w:p>
      <w:pPr>
        <w:spacing w:before="0" w:after="0"/>
      </w:pPr>
    </w:p>
    <w:p>
      <w:pPr>
        <w:spacing w:before="0" w:after="0"/>
      </w:pPr>
    </w:p>
    <w:p>
      <w:pPr>
        <w:spacing w:before="0" w:after="0"/>
      </w:pPr>
    </w:p>
    <w:p>
      <w:pPr>
        <w:spacing w:before="0" w:after="0"/>
      </w:pPr>
    </w:p>
    <w:bookmarkEnd w:id="19"/>
    <w:bookmarkStart w:id="2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0"/>
    <w:bookmarkStart w:id="2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3"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3"/>
    <w:bookmarkStart w:id="2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已知电子沿着圆环运动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C.3.1)</w:t>
      </w:r>
      <w:r>
        <w:rPr>
          <w:rFonts w:hint="eastAsia" w:ascii="Times New Roman" w:hAnsi="Times New Roman" w:eastAsia="FangSong" w:cs="Times New Roman"/>
        </w:rPr>
        <w:t>的势能函数</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V</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r</m:t>
                    </m:r>
                    <m:r>
                      <m:rPr>
                        <m:sty m:val="p"/>
                      </m:rPr>
                      <m:t>=</m:t>
                    </m:r>
                    <m:r>
                      <m:t>R</m:t>
                    </m:r>
                  </m:e>
                </m:mr>
                <m:mr>
                  <m:e>
                    <m:r>
                      <m:rPr>
                        <m:sty m:val="p"/>
                      </m:rPr>
                      <m:t>∞</m:t>
                    </m:r>
                    <m:r>
                      <m:rPr>
                        <m:sty m:val="p"/>
                      </m:rPr>
                      <m:t>,</m:t>
                    </m:r>
                  </m:e>
                  <m:e>
                    <m:r>
                      <m:t>r</m:t>
                    </m:r>
                    <m:r>
                      <m:rPr>
                        <m:sty m:val="p"/>
                      </m:rPr>
                      <m:t>≠</m:t>
                    </m:r>
                    <m:r>
                      <m:t>R</m:t>
                    </m:r>
                  </m:e>
                </m:mr>
              </m:m>
            </m:e>
          </m:d>
        </m:oMath>
      </m:oMathPara>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是电子到圆环中心的距离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Schrodinger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r>
            <m:t>ψ</m:t>
          </m:r>
          <m:r>
            <m:rPr>
              <m:sty m:val="p"/>
            </m:rPr>
            <m:t>(</m:t>
          </m:r>
          <m:r>
            <m:t>x</m:t>
          </m:r>
          <m:r>
            <m:rPr>
              <m:sty m:val="p"/>
            </m:rPr>
            <m:t>)</m:t>
          </m:r>
          <m:r>
            <m:rPr>
              <m:sty m:val="p"/>
            </m:rPr>
            <m:t>=</m:t>
          </m:r>
          <m:r>
            <m:t>E</m:t>
          </m:r>
          <m:r>
            <m:t>ψ</m:t>
          </m:r>
          <m:r>
            <m:rPr>
              <m:sty m:val="p"/>
            </m:rPr>
            <m:t>(</m:t>
          </m:r>
          <m:r>
            <m:t>x</m:t>
          </m:r>
          <m:r>
            <m:rPr>
              <m:sty m:val="p"/>
            </m:rPr>
            <m:t>)</m:t>
          </m:r>
        </m:oMath>
      </m:oMathPara>
    </w:p>
    <w:p>
      <w:pPr>
        <w:pStyle w:val="FirstParagraph"/>
      </w:pPr>
      <w:r>
        <w:rPr>
          <w:rFonts w:hint="eastAsia" w:ascii="Times New Roman" w:hAnsi="Times New Roman" w:eastAsia="FangSong" w:cs="Times New Roman"/>
        </w:rPr>
        <w:t xml:space="preserve">将变数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改成与角度</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有关的函数</w:t>
      </w:r>
      <w:r>
        <w:rPr>
          <w:rFonts w:hint="eastAsia" w:ascii="Times New Roman" w:hAnsi="Times New Roman" w:eastAsia="Times New Roman" w:cs="Times New Roman"/>
        </w:rPr>
        <w:t>，</w:t>
      </w:r>
      <m:oMath>
        <m:r>
          <m:t>x</m:t>
        </m:r>
        <m:r>
          <m:rPr>
            <m:sty m:val="p"/>
          </m:rPr>
          <m:t>=</m:t>
        </m:r>
        <m:r>
          <m:t>ϕ</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解此方程可得波函数</w:t>
      </w:r>
      <w:r>
        <w:rPr>
          <w:rFonts w:ascii="Times New Roman" w:hAnsi="Times New Roman" w:eastAsia="Times New Roman" w:cs="Times New Roman"/>
        </w:rPr>
        <w:t xml:space="preserve"> </w:t>
      </w:r>
      <m:oMath>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和相应能量</w:t>
      </w:r>
      <w:r>
        <w:rPr>
          <w:rFonts w:ascii="Times New Roman" w:hAnsi="Times New Roman" w:eastAsia="Times New Roman" w:cs="Times New Roman"/>
        </w:rPr>
        <w:t xml:space="preserve"> </w:t>
      </w:r>
      <m:oMath>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t>ψ</m:t>
                  </m:r>
                </m:e>
                <m:sub>
                  <m:r>
                    <m:t>n</m:t>
                  </m:r>
                </m:sub>
              </m:sSub>
              <m:r>
                <m:rPr>
                  <m:sty m:val="p"/>
                </m:rPr>
                <m:t>=</m:t>
              </m:r>
              <m:f>
                <m:fPr>
                  <m:type m:val="bar"/>
                </m:fPr>
                <m:num>
                  <m:r>
                    <m:t>1</m:t>
                  </m:r>
                </m:num>
                <m:den>
                  <m:rad>
                    <m:radPr>
                      <m:degHide m:val="on"/>
                    </m:radPr>
                    <m:deg/>
                    <m:e>
                      <m:r>
                        <m:t>2</m:t>
                      </m:r>
                      <m:r>
                        <m:t>π</m:t>
                      </m:r>
                    </m:e>
                  </m:rad>
                </m:den>
              </m:f>
              <m:r>
                <m:rPr>
                  <m:sty m:val="p"/>
                </m:rPr>
                <m:t>e</m:t>
              </m:r>
              <m:r>
                <m:rPr>
                  <m:sty m:val="p"/>
                </m:rPr>
                <m:t>x</m:t>
              </m:r>
              <m:r>
                <m:rPr>
                  <m:sty m:val="p"/>
                </m:rPr>
                <m:t>p</m:t>
              </m:r>
              <m:r>
                <m:rPr>
                  <m:sty m:val="p"/>
                </m:rPr>
                <m:t>[</m:t>
              </m:r>
              <m:r>
                <m:rPr>
                  <m:sty m:val="p"/>
                </m:rPr>
                <m:t>i</m:t>
              </m:r>
              <m:r>
                <m:t>n</m:t>
              </m:r>
              <m:r>
                <m:t>ϕ</m:t>
              </m:r>
              <m:r>
                <m:rPr>
                  <m:sty m:val="p"/>
                </m:rPr>
                <m:t>]</m:t>
              </m:r>
              <m:r>
                <m:t> </m:t>
              </m:r>
              <m:r>
                <m:t>n</m:t>
              </m:r>
              <m:r>
                <m:rPr>
                  <m:nor/>
                  <m:sty m:val="p"/>
                </m:rPr>
                <m:t>为量子数</m:t>
              </m:r>
              <m:r>
                <m:rPr>
                  <m:sty m:val="p"/>
                </m:rPr>
                <m:t>,</m:t>
              </m:r>
              <m:r>
                <m:t>n</m:t>
              </m:r>
              <m:r>
                <m:rPr>
                  <m:sty m:val="p"/>
                </m:rPr>
                <m:t>=</m:t>
              </m:r>
              <m:r>
                <m:t>0</m:t>
              </m:r>
              <m:r>
                <m:rPr>
                  <m:sty m:val="p"/>
                </m:rPr>
                <m:t>,</m:t>
              </m:r>
              <m:r>
                <m:rPr>
                  <m:sty m:val="p"/>
                </m:rPr>
                <m:t>±</m:t>
              </m:r>
              <m:r>
                <m:t>1</m:t>
              </m:r>
              <m:r>
                <m:rPr>
                  <m:sty m:val="p"/>
                </m:rPr>
                <m:t>,</m:t>
              </m:r>
              <m:r>
                <m:rPr>
                  <m:sty m:val="p"/>
                </m:rPr>
                <m:t>±</m:t>
              </m:r>
              <m:r>
                <m:t>2</m:t>
              </m:r>
              <m:r>
                <m:rPr>
                  <m:sty m:val="p"/>
                </m:rPr>
                <m:t>,</m:t>
              </m:r>
              <m:r>
                <m:rPr>
                  <m:sty m:val="p"/>
                </m:rPr>
                <m:t>…</m:t>
              </m:r>
            </m:e>
            <m:e>
              <m:r>
                <m:t>&amp;</m:t>
              </m:r>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p>
              <m:e>
                <m:r>
                  <m:t>π</m:t>
                </m:r>
              </m:e>
              <m:sup>
                <m:r>
                  <m:t>2</m:t>
                </m:r>
              </m:sup>
            </m:sSup>
            <m:r>
              <m:t>m</m:t>
            </m:r>
            <m:sSup>
              <m:e>
                <m:r>
                  <m:t>R</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作能量单位</w:t>
      </w:r>
      <w:r>
        <w:rPr>
          <w:rFonts w:hint="eastAsia" w:ascii="Times New Roman" w:hAnsi="Times New Roman" w:eastAsia="Times New Roman" w:cs="Times New Roman"/>
        </w:rPr>
        <w:t>，</w:t>
      </w:r>
      <w:r>
        <w:rPr>
          <w:rFonts w:hint="eastAsia" w:ascii="Times New Roman" w:hAnsi="Times New Roman" w:eastAsia="FangSong" w:cs="Times New Roman"/>
        </w:rPr>
        <w:t>作图示出能级的高低及能级简并情况</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画出吡啶</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5</m:t>
                </m:r>
              </m:sub>
            </m:sSub>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和吡咯</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4</m:t>
                </m:r>
              </m:sub>
            </m:sSub>
            <m:r>
              <m:rPr>
                <m:sty m:val="p"/>
              </m:rPr>
              <m:t>N</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的价键结构式</w:t>
      </w:r>
      <w:r>
        <w:rPr>
          <w:rFonts w:hint="eastAsia" w:ascii="Times New Roman" w:hAnsi="Times New Roman" w:eastAsia="Times New Roman" w:cs="Times New Roman"/>
        </w:rPr>
        <w:t>。</w:t>
      </w:r>
      <w:r>
        <w:rPr>
          <w:rFonts w:hint="eastAsia" w:ascii="Times New Roman" w:hAnsi="Times New Roman" w:eastAsia="FangSong" w:cs="Times New Roman"/>
        </w:rPr>
        <w:t>将环中的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电子运动情况近似地看作如图</w:t>
      </w:r>
      <w:r>
        <w:rPr>
          <w:rFonts w:ascii="Times New Roman" w:hAnsi="Times New Roman" w:eastAsia="Times New Roman" w:cs="Times New Roman"/>
        </w:rPr>
        <w:t xml:space="preserve"> C.3.1 </w:t>
      </w:r>
      <w:r>
        <w:rPr>
          <w:rFonts w:hint="eastAsia" w:ascii="Times New Roman" w:hAnsi="Times New Roman" w:eastAsia="FangSong" w:cs="Times New Roman"/>
        </w:rPr>
        <w:t>所示的状态</w:t>
      </w:r>
      <w:r>
        <w:rPr>
          <w:rFonts w:hint="eastAsia" w:ascii="Times New Roman" w:hAnsi="Times New Roman" w:eastAsia="Times New Roman" w:cs="Times New Roman"/>
        </w:rPr>
        <w:t>，</w:t>
      </w:r>
      <w:r>
        <w:rPr>
          <w:rFonts w:hint="eastAsia" w:ascii="Times New Roman" w:hAnsi="Times New Roman" w:eastAsia="FangSong" w:cs="Times New Roman"/>
        </w:rPr>
        <w:t>说明环中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键电子的数目</w:t>
      </w:r>
      <w:r>
        <w:rPr>
          <w:rFonts w:hint="eastAsia" w:ascii="Times New Roman" w:hAnsi="Times New Roman" w:eastAsia="Times New Roman" w:cs="Times New Roman"/>
        </w:rPr>
        <w:t>，</w:t>
      </w:r>
      <w:r>
        <w:rPr>
          <w:rFonts w:hint="eastAsia" w:ascii="Times New Roman" w:hAnsi="Times New Roman" w:eastAsia="FangSong" w:cs="Times New Roman"/>
        </w:rPr>
        <w:t>以及它们的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哪一种化合物所需的光的波长短些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在吡啶盐酸盐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sSup>
              <m:e>
                <m:r>
                  <m:rPr>
                    <m:sty m:val="p"/>
                  </m:rPr>
                  <m:t>N</m:t>
                </m:r>
                <m:r>
                  <m:rPr>
                    <m:sty m:val="p"/>
                  </m:rPr>
                  <m:t>H</m:t>
                </m:r>
              </m:e>
              <m:sup>
                <m:r>
                  <m:rPr>
                    <m:sty m:val="p"/>
                  </m:rPr>
                  <m:t>+</m:t>
                </m:r>
              </m:sup>
            </m:sSup>
            <m:r>
              <m:rPr>
                <m:sty m:val="p"/>
              </m:rPr>
              <m:t>⋅</m:t>
            </m:r>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正离子中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键电子数是多少</w:t>
      </w:r>
      <w:r>
        <w:rPr>
          <w:rFonts w:hint="eastAsia" w:ascii="Times New Roman" w:hAnsi="Times New Roman" w:eastAsia="Times New Roman" w:cs="Times New Roman"/>
        </w:rPr>
        <w:t>？</w:t>
      </w:r>
      <w:r>
        <w:rPr>
          <w:rFonts w:hint="eastAsia" w:ascii="Times New Roman" w:hAnsi="Times New Roman" w:eastAsia="FangSong" w:cs="Times New Roman"/>
        </w:rPr>
        <w:t>为什么中性的吡咯</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讨论单环共轭多烯体系</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bookmarkEnd w:id="25"/>
    <w:bookmarkStart w:id="26" w:name="晶体结构7-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6"/>
    <w:bookmarkStart w:id="2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28"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
    <w:bookmarkStart w:id="29"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9"/>
    <w:bookmarkStart w:id="30"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6"/>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1"/>
    <w:bookmarkStart w:id="3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0" w:after="0"/>
      </w:pPr>
    </w:p>
    <w:p>
      <w:pPr>
        <w:spacing w:before="0" w:after="0"/>
      </w:pPr>
    </w:p>
    <w:p>
      <w:pPr>
        <w:spacing w:before="0" w:after="0"/>
      </w:pPr>
    </w:p>
    <w:p>
      <w:pPr>
        <w:spacing w:before="0" w:after="0"/>
      </w:pPr>
    </w:p>
    <w:p>
      <w:pPr>
        <w:spacing w:before="0" w:after="0"/>
      </w:pPr>
    </w:p>
    <w:bookmarkEnd w:id="32"/>
    <w:bookmarkStart w:id="3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bookmarkEnd w:id="33"/>
    <w:bookmarkStart w:id="34" w:name="综合7-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平面四方形络合物</w:t>
      </w:r>
      <w:r>
        <w:rPr>
          <w:rFonts w:hint="eastAsia" w:ascii="Times New Roman" w:hAnsi="Times New Roman" w:eastAsia="Times New Roman" w:cs="Times New Roman"/>
          <w:b/>
          <w:bCs/>
        </w:rPr>
        <w:t>MO</w:t>
      </w:r>
    </w:p>
    <w:p>
      <w:pPr>
        <w:pStyle w:val="BodyText"/>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5"/>
    <w:bookmarkStart w:id="3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自旋交叉络合物应用</w:t>
      </w:r>
    </w:p>
    <w:p>
      <w:pPr>
        <w:pStyle w:val="BodyText"/>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0" w:after="0"/>
      </w:pPr>
    </w:p>
    <w:p>
      <w:pPr>
        <w:spacing w:before="0" w:after="0"/>
      </w:pPr>
    </w:p>
    <w:p>
      <w:pPr>
        <w:spacing w:before="0" w:after="0"/>
      </w:pPr>
    </w:p>
    <w:p>
      <w:pPr>
        <w:spacing w:before="0" w:after="0"/>
      </w:pPr>
    </w:p>
    <w:p>
      <w:pPr>
        <w:spacing w:before="0" w:after="0"/>
      </w:pPr>
    </w:p>
    <w:bookmarkEnd w:id="36"/>
    <w:bookmarkStart w:id="40"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b/>
          <w:bCs/>
        </w:rPr>
        <w:t>MLCT</w:t>
      </w:r>
      <w:r>
        <w:rPr>
          <w:rFonts w:hint="eastAsia" w:ascii="Times New Roman" w:hAnsi="Times New Roman" w:eastAsia="FangSong" w:cs="Times New Roman"/>
          <w:b/>
          <w:bCs/>
        </w:rPr>
        <w:t>谱带溶剂效应</w:t>
      </w:r>
    </w:p>
    <w:p>
      <w:pPr>
        <w:pStyle w:val="BodyText"/>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9725"/>
            <wp:effectExtent b="0" l="0" r="0" t="0"/>
            <wp:docPr descr="" title="" id="38" name="Picture"/>
            <a:graphic>
              <a:graphicData uri="http://schemas.openxmlformats.org/drawingml/2006/picture">
                <pic:pic>
                  <pic:nvPicPr>
                    <pic:cNvPr descr="7f7449fd63ba1c74368596c320ef723bcd46af68f2b033ca3b7fa987aa790c5c.jpg" id="39" name="Picture"/>
                    <pic:cNvPicPr>
                      <a:picLocks noChangeArrowheads="1" noChangeAspect="1"/>
                    </pic:cNvPicPr>
                  </pic:nvPicPr>
                  <pic:blipFill>
                    <a:blip r:embed="rId37"/>
                    <a:stretch>
                      <a:fillRect/>
                    </a:stretch>
                  </pic:blipFill>
                  <pic:spPr bwMode="auto">
                    <a:xfrm>
                      <a:off x="0" y="0"/>
                      <a:ext cx="3600000" cy="146972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三角双锥配体位点</w:t>
      </w:r>
    </w:p>
    <w:p>
      <w:pPr>
        <w:pStyle w:val="BodyText"/>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0" w:after="0"/>
      </w:pPr>
    </w:p>
    <w:p>
      <w:pPr>
        <w:spacing w:before="0" w:after="0"/>
      </w:pPr>
    </w:p>
    <w:p>
      <w:pPr>
        <w:spacing w:before="0" w:after="0"/>
      </w:pPr>
    </w:p>
    <w:p>
      <w:pPr>
        <w:spacing w:before="0" w:after="0"/>
      </w:pPr>
    </w:p>
    <w:p>
      <w:pPr>
        <w:spacing w:before="0" w:after="0"/>
      </w:pPr>
    </w:p>
    <w:bookmarkEnd w:id="41"/>
    <w:bookmarkStart w:id="42"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四方畸变与线性络合物</w:t>
      </w:r>
    </w:p>
    <w:p>
      <w:pPr>
        <w:pStyle w:val="BodyText"/>
      </w:pPr>
      <w:r>
        <w:rPr>
          <w:rFonts w:hint="eastAsia" w:ascii="Times New Roman" w:hAnsi="Times New Roman" w:eastAsia="FangSong" w:cs="Times New Roman"/>
        </w:rPr>
        <w:t xml:space="preserve">从图</w:t>
      </w:r>
      <w:r>
        <w:rPr>
          <w:rFonts w:ascii="Times New Roman" w:hAnsi="Times New Roman" w:eastAsia="Times New Roman" w:cs="Times New Roman"/>
        </w:rPr>
        <w:t xml:space="preserve"> 20.12 </w:t>
      </w:r>
      <w:r>
        <w:rPr>
          <w:rFonts w:hint="eastAsia" w:ascii="Times New Roman" w:hAnsi="Times New Roman" w:eastAsia="FangSong" w:cs="Times New Roman"/>
        </w:rPr>
        <w:t>入手并使用晶体场方法</w:t>
      </w:r>
      <w:r>
        <w:rPr>
          <w:rFonts w:hint="eastAsia" w:ascii="Times New Roman" w:hAnsi="Times New Roman" w:eastAsia="Times New Roman" w:cs="Times New Roman"/>
        </w:rPr>
        <w:t>，</w:t>
      </w:r>
      <w:r>
        <w:rPr>
          <w:rFonts w:hint="eastAsia" w:ascii="Times New Roman" w:hAnsi="Times New Roman" w:eastAsia="FangSong" w:cs="Times New Roman"/>
        </w:rPr>
        <w:t>说明极端的四方畸变如何得到图</w:t>
      </w:r>
      <w:r>
        <w:rPr>
          <w:rFonts w:ascii="Times New Roman" w:hAnsi="Times New Roman" w:eastAsia="Times New Roman" w:cs="Times New Roman"/>
        </w:rPr>
        <w:t xml:space="preserve"> 20.10 </w:t>
      </w:r>
      <w:r>
        <w:rPr>
          <w:rFonts w:hint="eastAsia" w:ascii="Times New Roman" w:hAnsi="Times New Roman" w:eastAsia="FangSong" w:cs="Times New Roman"/>
        </w:rPr>
        <w:t>中的轨道能级图</w:t>
      </w:r>
      <w:r>
        <w:rPr>
          <w:rFonts w:hint="eastAsia" w:ascii="Times New Roman" w:hAnsi="Times New Roman" w:eastAsia="Times New Roman" w:cs="Times New Roman"/>
        </w:rPr>
        <w:t>。</w:t>
      </w:r>
      <w:r>
        <w:rPr>
          <w:rFonts w:hint="eastAsia" w:ascii="Times New Roman" w:hAnsi="Times New Roman" w:eastAsia="FangSong" w:cs="Times New Roman"/>
        </w:rPr>
        <w:t>对二配位的线性络合物进行类似的分析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2"/>
    <w:bookmarkStart w:id="43"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三棱柱六配位对称性</w:t>
      </w:r>
    </w:p>
    <w:p>
      <w:pPr>
        <w:pStyle w:val="BodyText"/>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3"/>
    <w:bookmarkStart w:id="44"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Ch21 </w:t>
      </w:r>
      <w:r>
        <w:rPr>
          <w:rFonts w:hint="eastAsia" w:ascii="Times New Roman" w:hAnsi="Times New Roman" w:eastAsia="FangSong" w:cs="Times New Roman"/>
        </w:rPr>
        <w:t>练习题</w:t>
      </w:r>
      <w:r>
        <w:rPr>
          <w:rFonts w:hint="eastAsia" w:ascii="Times New Roman" w:hAnsi="Times New Roman" w:eastAsia="Times New Roman" w:cs="Times New Roman"/>
        </w:rPr>
        <w:t>21.1</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-WCh21.19-CrII</w:t>
      </w:r>
      <w:r>
        <w:rPr>
          <w:rFonts w:hint="eastAsia" w:ascii="Times New Roman" w:hAnsi="Times New Roman" w:eastAsia="FangSong" w:cs="Times New Roman"/>
          <w:b/>
          <w:bCs/>
        </w:rPr>
        <w:t>还原速率差异机理</w:t>
      </w:r>
    </w:p>
    <w:p>
      <w:pPr>
        <w:pStyle w:val="BodyText"/>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bookmarkEnd w:id="44"/>
    <w:bookmarkStart w:id="45" w:name="中级无机化学6-题"/>
    <w:p>
      <w:pPr>
        <w:pStyle w:val="Heading2"/>
        <w:spacing w:before="280" w:after="120"/>
      </w:pPr>
      <w:r>
        <w:rPr>
          <w:rFonts w:hint="eastAsia" w:ascii="Times New Roman" w:hAnsi="Times New Roman" w:eastAsia="SimHei" w:cs="Times New Roman"/>
        </w:rPr>
        <w:t>中级无机化学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5"/>
    <w:bookmarkStart w:id="46"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6"/>
    <w:bookmarkStart w:id="47"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7"/>
    <w:bookmarkStart w:id="48"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8"/>
    <w:bookmarkStart w:id="49"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9"/>
    <w:bookmarkStart w:id="50"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9"/>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50"/>
    <w:bookmarkStart w:id="51"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20"/>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bookmarkEnd w:id="51"/>
    <w:bookmarkStart w:id="52"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2"/>
    <w:bookmarkStart w:id="53"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理论</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项目</w:t>
            </w:r>
          </w:p>
        </w:tc>
        <w:tc>
          <w:tcPr>
            <w:tcBorders>
              <w:bottom w:val="single" w:sz="8" w:space="0" w:color="000000"/>
            </w:tcBorders>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p>
            <w:pPr>
              <w:spacing w:before="0" w:after="0"/>
            </w:pPr>
          </w:p>
          <w:p>
            <w:pPr>
              <w:spacing w:before="0" w:after="0"/>
            </w:pPr>
          </w:p>
          <w:p>
            <w:pPr>
              <w:spacing w:before="0" w:after="0"/>
            </w:pPr>
          </w:p>
          <w:p>
            <w:pPr>
              <w:spacing w:before="0" w:after="0"/>
            </w:pPr>
          </w:p>
          <w:p>
            <w:pPr>
              <w:spacing w:before="0" w:after="0"/>
            </w:pPr>
          </w:p>
        </w:tc>
      </w:tr>
    </w:tbl>
    <w:bookmarkEnd w:id="53"/>
    <w:bookmarkStart w:id="54"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21"/>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54"/>
    <w:bookmarkStart w:id="5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55"/>
    <w:bookmarkStart w:id="59"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1722"/>
            <wp:effectExtent b="0" l="0" r="0" t="0"/>
            <wp:docPr descr="" title="" id="57" name="Picture"/>
            <a:graphic>
              <a:graphicData uri="http://schemas.openxmlformats.org/drawingml/2006/picture">
                <pic:pic>
                  <pic:nvPicPr>
                    <pic:cNvPr descr="c4c1a14f39aab7f42b32ec98d2c8f1d41c2da2ed5621bd8a20825628180dae7a.jpg" id="58" name="Picture"/>
                    <pic:cNvPicPr>
                      <a:picLocks noChangeArrowheads="1" noChangeAspect="1"/>
                    </pic:cNvPicPr>
                  </pic:nvPicPr>
                  <pic:blipFill>
                    <a:blip r:embed="rId56"/>
                    <a:stretch>
                      <a:fillRect/>
                    </a:stretch>
                  </pic:blipFill>
                  <pic:spPr bwMode="auto">
                    <a:xfrm>
                      <a:off x="0" y="0"/>
                      <a:ext cx="3600000" cy="771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9"/>
    <w:bookmarkStart w:id="7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配位化合物讲义替换题</w:t>
      </w:r>
      <w:r>
        <w:rPr>
          <w:rFonts w:hint="eastAsia" w:ascii="Times New Roman" w:hAnsi="Times New Roman" w:eastAsia="Times New Roman" w:cs="Times New Roman"/>
          <w:b/>
          <w:bCs/>
        </w:rPr>
        <w:t>（2026-07-04）</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本页存放自</w:t>
      </w:r>
      <w:r>
        <w:rPr>
          <w:rFonts w:ascii="Times New Roman" w:hAnsi="Times New Roman" w:eastAsia="Times New Roman" w:cs="Times New Roman"/>
        </w:rPr>
        <w:t xml:space="preserve"> </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中替换下来的改编题</w:t>
      </w:r>
      <w:r>
        <w:rPr>
          <w:rFonts w:hint="eastAsia" w:ascii="Times New Roman" w:hAnsi="Times New Roman" w:eastAsia="Times New Roman" w:cs="Times New Roman"/>
        </w:rPr>
        <w:t>。</w:t>
      </w:r>
      <w:r>
        <w:rPr>
          <w:rFonts w:hint="eastAsia" w:ascii="Times New Roman" w:hAnsi="Times New Roman" w:eastAsia="FangSong" w:cs="Times New Roman"/>
        </w:rPr>
        <w:t>由于原讲义前</w:t>
      </w:r>
      <w:r>
        <w:rPr>
          <w:rFonts w:ascii="Times New Roman" w:hAnsi="Times New Roman" w:eastAsia="Times New Roman" w:cs="Times New Roman"/>
        </w:rPr>
        <w:t xml:space="preserve"> 14 </w:t>
      </w:r>
      <w:r>
        <w:rPr>
          <w:rFonts w:hint="eastAsia" w:ascii="Times New Roman" w:hAnsi="Times New Roman" w:eastAsia="FangSong" w:cs="Times New Roman"/>
        </w:rPr>
        <w:t>题中混有</w:t>
      </w:r>
      <w:r>
        <w:rPr>
          <w:rFonts w:hint="eastAsia" w:ascii="Times New Roman" w:hAnsi="Times New Roman" w:eastAsia="Times New Roman" w:cs="Times New Roman"/>
        </w:rPr>
        <w:t>“</w:t>
      </w:r>
      <w:r>
        <w:rPr>
          <w:rFonts w:hint="eastAsia" w:ascii="Times New Roman" w:hAnsi="Times New Roman" w:eastAsia="FangSong" w:cs="Times New Roman"/>
        </w:rPr>
        <w:t>原题标签</w:t>
      </w:r>
      <w:r>
        <w:rPr>
          <w:rFonts w:ascii="Times New Roman" w:hAnsi="Times New Roman" w:eastAsia="Times New Roman" w:cs="Times New Roman"/>
        </w:rPr>
        <w:t xml:space="preserve"> + </w:t>
      </w:r>
      <w:r>
        <w:rPr>
          <w:rFonts w:hint="eastAsia" w:ascii="Times New Roman" w:hAnsi="Times New Roman" w:eastAsia="FangSong" w:cs="Times New Roman"/>
        </w:rPr>
        <w:t>改编内容</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已整体替换为可直接对照的原题版本</w:t>
      </w:r>
      <w:r>
        <w:rPr>
          <w:rFonts w:hint="eastAsia" w:ascii="Times New Roman" w:hAnsi="Times New Roman" w:eastAsia="Times New Roman" w:cs="Times New Roman"/>
        </w:rPr>
        <w:t>。</w:t>
      </w:r>
    </w:p>
    <w:bookmarkStart w:id="6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60"/>
    <w:bookmarkStart w:id="6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61"/>
    <w:bookmarkStart w:id="6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62"/>
    <w:bookmarkStart w:id="6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63"/>
    <w:bookmarkStart w:id="6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64"/>
    <w:bookmarkStart w:id="6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65"/>
    <w:bookmarkStart w:id="6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66"/>
    <w:bookmarkStart w:id="6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67"/>
    <w:bookmarkStart w:id="6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68"/>
    <w:bookmarkStart w:id="6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69"/>
    <w:bookmarkStart w:id="7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70"/>
    <w:bookmarkStart w:id="7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71"/>
    <w:bookmarkStart w:id="7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2"/>
    <w:bookmarkStart w:id="76"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2341667"/>
            <wp:effectExtent b="0" l="0" r="0" t="0"/>
            <wp:docPr descr="" title="" id="74" name="Picture"/>
            <a:graphic>
              <a:graphicData uri="http://schemas.openxmlformats.org/drawingml/2006/picture">
                <pic:pic>
                  <pic:nvPicPr>
                    <pic:cNvPr descr="7937fa3a4ad6d5d9124ba067bca2710abd9c4ab591c0e70741f298f0452bda78.png" id="75" name="Picture"/>
                    <pic:cNvPicPr>
                      <a:picLocks noChangeArrowheads="1" noChangeAspect="1"/>
                    </pic:cNvPicPr>
                  </pic:nvPicPr>
                  <pic:blipFill>
                    <a:blip r:embed="rId73"/>
                    <a:stretch>
                      <a:fillRect/>
                    </a:stretch>
                  </pic:blipFill>
                  <pic:spPr bwMode="auto">
                    <a:xfrm>
                      <a:off x="0" y="0"/>
                      <a:ext cx="3600000" cy="2341667"/>
                    </a:xfrm>
                    <a:prstGeom prst="rect">
                      <a:avLst/>
                    </a:prstGeom>
                    <a:noFill/>
                    <a:ln w="9525">
                      <a:noFill/>
                      <a:headEnd/>
                      <a:tailEnd/>
                    </a:ln>
                  </pic:spPr>
                </pic:pic>
              </a:graphicData>
            </a:graphic>
          </wp:inline>
        </w:drawing>
      </w:r>
    </w:p>
    <w:bookmarkEnd w:id="76"/>
    <w:bookmarkEnd w:id="77"/>
    <w:bookmarkStart w:id="78"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bookmarkEnd w:id="78"/>
    <w:bookmarkStart w:id="79" w:name="分子结构与化学键4-题"/>
    <w:p>
      <w:pPr>
        <w:pStyle w:val="Heading2"/>
        <w:spacing w:before="280" w:after="120"/>
      </w:pPr>
      <w:r>
        <w:rPr>
          <w:rFonts w:hint="eastAsia" w:ascii="Times New Roman" w:hAnsi="Times New Roman" w:eastAsia="SimHei" w:cs="Times New Roman"/>
        </w:rPr>
        <w:t>分子结构与化学键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9"/>
    <w:bookmarkStart w:id="80"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0"/>
    <w:bookmarkStart w:id="81"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1"/>
    <w:bookmarkStart w:id="8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2"/>
    <w:bookmarkStart w:id="83"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bookmarkEnd w:id="83"/>
    <w:bookmarkStart w:id="84" w:name="离子晶体与离子键4-题"/>
    <w:p>
      <w:pPr>
        <w:pStyle w:val="Heading2"/>
        <w:spacing w:before="280" w:after="120"/>
      </w:pPr>
      <w:r>
        <w:rPr>
          <w:rFonts w:hint="eastAsia" w:ascii="Times New Roman" w:hAnsi="Times New Roman" w:eastAsia="SimHei" w:cs="Times New Roman"/>
        </w:rPr>
        <w:t>离子晶体与离子键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4"/>
    <w:bookmarkStart w:id="8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5"/>
    <w:bookmarkStart w:id="8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6"/>
    <w:bookmarkStart w:id="87"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7"/>
    <w:bookmarkStart w:id="88"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8"/>
    <w:bookmarkEnd w:id="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png"/><Relationship Id="rId37" Type="http://schemas.openxmlformats.org/officeDocument/2006/relationships/image" Target="media/rId37.jpg"/><Relationship Id="rId56" Type="http://schemas.openxmlformats.org/officeDocument/2006/relationships/image" Target="media/rId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2026-09-19T17:11:23Z</dcterms:created>
  <dcterms:modified xsi:type="dcterms:W3CDTF">2026-09-19T17:11:23Z</dcterms:modified>
</cp:coreProperties>
</file>

<file path=docProps/custom.xml><?xml version="1.0" encoding="utf-8"?>
<Properties xmlns="http://schemas.openxmlformats.org/officeDocument/2006/custom-properties" xmlns:vt="http://schemas.openxmlformats.org/officeDocument/2006/docPropsVTypes"/>
</file>