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ascii="Times New Roman" w:hAnsi="Times New Roman" w:eastAsia="Times New Roman" w:cs="Times New Roman"/>
        </w:rPr>
        <w:t>-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ascii="Times New Roman" w:hAnsi="Times New Roman" w:eastAsia="Times New Roman" w:cs="Times New Roman"/>
        </w:rPr>
        <w:t>-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p>
    <w:p>
      <w:pPr>
        <w:pStyle w:val="Compact"/>
        <w:numPr>
          <w:ilvl w:val="0"/>
          <w:numId w:val="1001"/>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Compact"/>
        <w:numPr>
          <w:ilvl w:val="0"/>
          <w:numId w:val="1001"/>
        </w:numPr>
        <w:ind w:firstLine="42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Compact"/>
        <w:numPr>
          <w:ilvl w:val="0"/>
          <w:numId w:val="1001"/>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numPr>
          <w:ilvl w:val="0"/>
          <w:numId w:val="1002"/>
        </w:numPr>
        <w:ind w:firstLine="420"/>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numPr>
          <w:ilvl w:val="0"/>
          <w:numId w:val="1002"/>
        </w:numPr>
        <w:ind w:firstLine="420"/>
      </w:pPr>
      <w:r>
        <w:rPr>
          <w:rFonts w:ascii="Times New Roman" w:hAnsi="Times New Roman" w:eastAsia="Times New Roman" w:cs="Times New Roman"/>
        </w:rPr>
        <w:t xml:space="preserve">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numPr>
          <w:ilvl w:val="0"/>
          <w:numId w:val="1002"/>
        </w:numPr>
        <w:ind w:firstLine="420"/>
      </w:pP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4">
        <w:r>
          <w:rPr>
            <w:rStyle w:val="Hyperlink"/>
          </w:rPr>
          <w:t xml:space="preserve">A</w:t>
        </w:r>
      </w:hyperlink>
      <w:r>
        <w:rPr>
          <w:rFonts w:ascii="Times New Roman" w:hAnsi="Times New Roman" w:eastAsia="Times New Roman" w:cs="Times New Roman"/>
        </w:rPr>
        <w:t xml:space="preserve"> </w:t>
      </w:r>
      <w:hyperlink r:id="rId14">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ind w:firstLine="420"/>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p>
    <w:p>
      <w:pPr>
        <w:pStyle w:val="Compact"/>
        <w:numPr>
          <w:ilvl w:val="0"/>
          <w:numId w:val="1003"/>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p>
    <w:p>
      <w:pPr>
        <w:pStyle w:val="Compact"/>
        <w:numPr>
          <w:ilvl w:val="0"/>
          <w:numId w:val="1003"/>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p>
    <w:p>
      <w:pPr>
        <w:pStyle w:val="Compact"/>
        <w:numPr>
          <w:ilvl w:val="0"/>
          <w:numId w:val="1003"/>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961808"/>
            <wp:effectExtent b="0" l="0" r="0" t="0"/>
            <wp:docPr descr="" title="" id="17" name="Picture"/>
            <a:graphic>
              <a:graphicData uri="http://schemas.openxmlformats.org/drawingml/2006/picture">
                <pic:pic>
                  <pic:nvPicPr>
                    <pic:cNvPr descr="eabd88acdb2a6578.png" id="18" name="Picture"/>
                    <pic:cNvPicPr>
                      <a:picLocks noChangeArrowheads="1" noChangeAspect="1"/>
                    </pic:cNvPicPr>
                  </pic:nvPicPr>
                  <pic:blipFill>
                    <a:blip r:embed="rId16"/>
                    <a:stretch>
                      <a:fillRect/>
                    </a:stretch>
                  </pic:blipFill>
                  <pic:spPr bwMode="auto">
                    <a:xfrm>
                      <a:off x="0" y="0"/>
                      <a:ext cx="3600000" cy="961808"/>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+533</w:t>
      </w:r>
    </w:p>
    <w:p>
      <w:pPr>
        <w:pStyle w:val="Compact"/>
        <w:numPr>
          <w:ilvl w:val="0"/>
          <w:numId w:val="1004"/>
        </w:numPr>
      </w:pPr>
      <w:r>
        <w:rPr>
          <w:rFonts w:ascii="Times New Roman" w:hAnsi="Times New Roman" w:eastAsia="Times New Roman" w:cs="Times New Roman"/>
        </w:rPr>
        <w:t xml:space="preserve">B. +686</w:t>
      </w:r>
    </w:p>
    <w:p>
      <w:pPr>
        <w:pStyle w:val="Compact"/>
        <w:numPr>
          <w:ilvl w:val="0"/>
          <w:numId w:val="1004"/>
        </w:numPr>
      </w:pPr>
      <w:r>
        <w:rPr>
          <w:rFonts w:ascii="Times New Roman" w:hAnsi="Times New Roman" w:eastAsia="Times New Roman" w:cs="Times New Roman"/>
        </w:rPr>
        <w:t xml:space="preserve">C. +838</w:t>
      </w:r>
    </w:p>
    <w:p>
      <w:pPr>
        <w:pStyle w:val="Compact"/>
        <w:numPr>
          <w:ilvl w:val="0"/>
          <w:numId w:val="1004"/>
        </w:numPr>
      </w:pPr>
      <w:r>
        <w:rPr>
          <w:rFonts w:ascii="Times New Roman" w:hAnsi="Times New Roman" w:eastAsia="Times New Roman" w:cs="Times New Roman"/>
        </w:rPr>
        <w:t xml:space="preserve">D. +682</w:t>
      </w: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Ge </w:t>
      </w:r>
      <w:r>
        <w:rPr>
          <w:rFonts w:hint="eastAsia" w:ascii="Times New Roman" w:hAnsi="Times New Roman" w:eastAsia="FangSong" w:cs="Times New Roman"/>
        </w:rPr>
        <w:t>单晶的晶胞</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565.76 </w:t>
      </w:r>
      <w:r>
        <w:rPr>
          <w:rFonts w:hint="eastAsia" w:ascii="Times New Roman" w:hAnsi="Times New Roman" w:eastAsia="Times New Roman" w:cs="Times New Roman"/>
        </w:rPr>
        <w:t>pm，</w:t>
      </w:r>
      <w:r>
        <w:rPr>
          <w:rFonts w:hint="eastAsia" w:ascii="Times New Roman" w:hAnsi="Times New Roman" w:eastAsia="FangSong" w:cs="Times New Roman"/>
        </w:rPr>
        <w:t>原子坐标参数</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(0,0,0)，</w:t>
      </w:r>
      <w:r>
        <w:rPr>
          <w:rFonts w:hint="eastAsia" w:ascii="Times New Roman" w:hAnsi="Times New Roman" w:eastAsia="FangSong" w:cs="Times New Roman"/>
        </w:rPr>
        <w:t>下列有关说法正确的是</w:t>
      </w:r>
    </w:p>
    <w:p>
      <w:pPr>
        <w:pStyle w:val="BlockText"/>
        <w:spacing w:before="160" w:after="80"/>
        <w:jc w:val="center"/>
      </w:pPr>
      <w:r>
        <w:rPr>
          <w:rFonts w:ascii="Times New Roman" w:hAnsi="Times New Roman" w:eastAsia="Times New Roman" w:cs="Times New Roman"/>
        </w:rPr>
        <w:t xml:space="preserve">Ge </w:t>
      </w:r>
      <w:r>
        <w:rPr>
          <w:rFonts w:hint="eastAsia" w:ascii="Times New Roman" w:hAnsi="Times New Roman" w:eastAsia="FangSong" w:cs="Times New Roman"/>
        </w:rPr>
        <w:t>单晶晶胞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602155"/>
            <wp:effectExtent b="0" l="0" r="0" t="0"/>
            <wp:docPr descr="" title="" id="21" name="Picture"/>
            <a:graphic>
              <a:graphicData uri="http://schemas.openxmlformats.org/drawingml/2006/picture">
                <pic:pic>
                  <pic:nvPicPr>
                    <pic:cNvPr descr="af1271f4c4c6a31c.png" id="22" name="Picture"/>
                    <pic:cNvPicPr>
                      <a:picLocks noChangeArrowheads="1" noChangeAspect="1"/>
                    </pic:cNvPicPr>
                  </pic:nvPicPr>
                  <pic:blipFill>
                    <a:blip r:embed="rId20"/>
                    <a:stretch>
                      <a:fillRect/>
                    </a:stretch>
                  </pic:blipFill>
                  <pic:spPr bwMode="auto">
                    <a:xfrm>
                      <a:off x="0" y="0"/>
                      <a:ext cx="3600000" cy="1602155"/>
                    </a:xfrm>
                    <a:prstGeom prst="rect">
                      <a:avLst/>
                    </a:prstGeom>
                    <a:noFill/>
                    <a:ln w="9525">
                      <a:noFill/>
                      <a:headEnd/>
                      <a:tailEnd/>
                    </a:ln>
                  </pic:spPr>
                </pic:pic>
              </a:graphicData>
            </a:graphic>
          </wp:inline>
        </w:drawing>
      </w:r>
    </w:p>
    <w:p>
      <w:pPr>
        <w:pStyle w:val="Compact"/>
        <w:numPr>
          <w:ilvl w:val="0"/>
          <w:numId w:val="100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8×M(Ge)/(6.02×10</w:t>
      </w:r>
      <w:r>
        <w:rPr>
          <w:rFonts w:ascii="Times New Roman" w:hAnsi="Times New Roman" w:eastAsia="Times New Roman" w:cs="Times New Roman"/>
          <w:vertAlign w:val="superscript"/>
        </w:rPr>
        <w:t>23</w:t>
      </w:r>
      <w:r>
        <w:rPr>
          <w:rFonts w:ascii="Times New Roman" w:hAnsi="Times New Roman" w:eastAsia="Times New Roman" w:cs="Times New Roman"/>
        </w:rPr>
        <w:t>×565.76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Compact"/>
        <w:numPr>
          <w:ilvl w:val="0"/>
          <w:numId w:val="1005"/>
        </w:numPr>
        <w:ind w:firstLine="420"/>
      </w:pPr>
      <w:r>
        <w:rPr>
          <w:rFonts w:ascii="Times New Roman" w:hAnsi="Times New Roman" w:eastAsia="Times New Roman" w:cs="Times New Roman"/>
        </w:rPr>
        <w:t>B.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 1/4, 1/4)</w:t>
      </w:r>
    </w:p>
    <w:p>
      <w:pPr>
        <w:pStyle w:val="Compact"/>
        <w:numPr>
          <w:ilvl w:val="0"/>
          <w:numId w:val="1005"/>
        </w:numPr>
        <w:ind w:firstLine="420"/>
      </w:pPr>
      <w:r>
        <w:rPr>
          <w:rFonts w:ascii="Times New Roman" w:hAnsi="Times New Roman" w:eastAsia="Times New Roman" w:cs="Times New Roman"/>
        </w:rPr>
        <w:t>C. M</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Compact"/>
        <w:numPr>
          <w:ilvl w:val="0"/>
          <w:numId w:val="1005"/>
        </w:numPr>
        <w:ind w:firstLine="420"/>
      </w:pPr>
      <w:r>
        <w:rPr>
          <w:rFonts w:ascii="Times New Roman" w:hAnsi="Times New Roman" w:eastAsia="Times New Roman" w:cs="Times New Roman"/>
        </w:rPr>
        <w:t>D. M</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形成的一种合金的结构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是沿立方格子对角面取得的截图</w:t>
      </w:r>
    </w:p>
    <w:p>
      <w:pPr>
        <w:pStyle w:val="BlockText"/>
        <w:spacing w:before="160" w:after="80"/>
        <w:jc w:val="center"/>
      </w:pPr>
      <w:r>
        <w:rPr>
          <w:rFonts w:ascii="Times New Roman" w:hAnsi="Times New Roman" w:eastAsia="Times New Roman" w:cs="Times New Roman"/>
        </w:rPr>
        <w:t xml:space="preserve">Mg-Cu </w:t>
      </w:r>
      <w:r>
        <w:rPr>
          <w:rFonts w:hint="eastAsia" w:ascii="Times New Roman" w:hAnsi="Times New Roman" w:eastAsia="FangSong" w:cs="Times New Roman"/>
        </w:rPr>
        <w:t>合金结构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217977"/>
            <wp:effectExtent b="0" l="0" r="0" t="0"/>
            <wp:docPr descr="" title="" id="25" name="Picture"/>
            <a:graphic>
              <a:graphicData uri="http://schemas.openxmlformats.org/drawingml/2006/picture">
                <pic:pic>
                  <pic:nvPicPr>
                    <pic:cNvPr descr="d81077defdea3620.png" id="26" name="Picture"/>
                    <pic:cNvPicPr>
                      <a:picLocks noChangeArrowheads="1" noChangeAspect="1"/>
                    </pic:cNvPicPr>
                  </pic:nvPicPr>
                  <pic:blipFill>
                    <a:blip r:embed="rId24"/>
                    <a:stretch>
                      <a:fillRect/>
                    </a:stretch>
                  </pic:blipFill>
                  <pic:spPr bwMode="auto">
                    <a:xfrm>
                      <a:off x="0" y="0"/>
                      <a:ext cx="3600000" cy="1217977"/>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 xml:space="preserve">下列说法正确的是</w:t>
      </w:r>
    </w:p>
    <w:p>
      <w:pPr>
        <w:pStyle w:val="Compact"/>
        <w:numPr>
          <w:ilvl w:val="0"/>
          <w:numId w:val="1006"/>
        </w:numPr>
        <w:ind w:firstLine="420"/>
      </w:pPr>
      <w:r>
        <w:rPr>
          <w:rFonts w:ascii="Times New Roman" w:hAnsi="Times New Roman" w:eastAsia="Times New Roman" w:cs="Times New Roman"/>
        </w:rPr>
        <w:t xml:space="preserve">A. Mg </w:t>
      </w:r>
      <w:r>
        <w:rPr>
          <w:rFonts w:hint="eastAsia" w:ascii="Times New Roman" w:hAnsi="Times New Roman" w:eastAsia="FangSong" w:cs="Times New Roman"/>
        </w:rPr>
        <w:t xml:space="preserve">的堆积方式与金刚石中的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原子类似</w:t>
      </w:r>
    </w:p>
    <w:p>
      <w:pPr>
        <w:pStyle w:val="Compact"/>
        <w:numPr>
          <w:ilvl w:val="0"/>
          <w:numId w:val="1006"/>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该合金的化学式为</w:t>
      </w:r>
      <w:r>
        <w:rPr>
          <w:rFonts w:ascii="Times New Roman" w:hAnsi="Times New Roman" w:eastAsia="Times New Roman" w:cs="Times New Roman"/>
        </w:rPr>
        <w:t xml:space="preserve"> MgCu</w:t>
      </w:r>
    </w:p>
    <w:p>
      <w:pPr>
        <w:pStyle w:val="Compact"/>
        <w:numPr>
          <w:ilvl w:val="0"/>
          <w:numId w:val="1006"/>
        </w:numPr>
        <w:ind w:firstLine="420"/>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原子之间最短距离</w:t>
      </w:r>
      <w:r>
        <w:rPr>
          <w:rFonts w:ascii="Times New Roman" w:hAnsi="Times New Roman" w:eastAsia="Times New Roman" w:cs="Times New Roman"/>
        </w:rPr>
        <w:t xml:space="preserve"> x = (√2/2)·a </w:t>
      </w:r>
      <w:r>
        <w:rPr>
          <w:rFonts w:hint="eastAsia" w:ascii="Times New Roman" w:hAnsi="Times New Roman" w:eastAsia="Times New Roman" w:cs="Times New Roman"/>
        </w:rPr>
        <w:t>pm（</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numPr>
          <w:ilvl w:val="0"/>
          <w:numId w:val="1006"/>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该合金的密度为</w:t>
      </w:r>
      <w:r>
        <w:rPr>
          <w:rFonts w:ascii="Times New Roman" w:hAnsi="Times New Roman" w:eastAsia="Times New Roman" w:cs="Times New Roman"/>
        </w:rPr>
        <w:t xml:space="preserve"> 8×(24.3+63.55)/(N</w:t>
      </w:r>
      <w:r>
        <w:rPr>
          <w:rFonts w:ascii="Times New Roman" w:hAnsi="Times New Roman" w:eastAsia="Times New Roman" w:cs="Times New Roman"/>
          <w:vertAlign w:val="subscript"/>
        </w:rPr>
        <w:t>a</w:t>
      </w: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Compact"/>
        <w:numPr>
          <w:ilvl w:val="0"/>
          <w:numId w:val="1007"/>
        </w:numPr>
        <w:ind w:firstLine="420"/>
      </w:pP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p>
    <w:p>
      <w:pPr>
        <w:pStyle w:val="Compact"/>
        <w:numPr>
          <w:ilvl w:val="0"/>
          <w:numId w:val="1007"/>
        </w:numPr>
        <w:ind w:firstLine="420"/>
      </w:pP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p>
    <w:p>
      <w:pPr>
        <w:pStyle w:val="Compact"/>
        <w:numPr>
          <w:ilvl w:val="0"/>
          <w:numId w:val="1007"/>
        </w:numPr>
        <w:ind w:firstLine="420"/>
      </w:pP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spacing w:before="160" w:after="80"/>
      </w:pPr>
      <w:r>
        <w:pict>
          <v:rect style="width:0;height:1.5pt" o:hralign="center" o:hrstd="t" o:hr="t"/>
        </w:pict>
      </w:r>
    </w:p>
    <w:bookmarkEnd w:id="28"/>
    <w:bookmarkStart w:id="2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009"/>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97058"/>
            <wp:effectExtent b="0" l="0" r="0" t="0"/>
            <wp:docPr descr="" title="" id="36" name="Picture"/>
            <a:graphic>
              <a:graphicData uri="http://schemas.openxmlformats.org/drawingml/2006/picture">
                <pic:pic>
                  <pic:nvPicPr>
                    <pic:cNvPr descr="361cd7473447b54f.png" id="37" name="Picture"/>
                    <pic:cNvPicPr>
                      <a:picLocks noChangeArrowheads="1" noChangeAspect="1"/>
                    </pic:cNvPicPr>
                  </pic:nvPicPr>
                  <pic:blipFill>
                    <a:blip r:embed="rId35"/>
                    <a:stretch>
                      <a:fillRect/>
                    </a:stretch>
                  </pic:blipFill>
                  <pic:spPr bwMode="auto">
                    <a:xfrm>
                      <a:off x="0" y="0"/>
                      <a:ext cx="3600000" cy="2197058"/>
                    </a:xfrm>
                    <a:prstGeom prst="rect">
                      <a:avLst/>
                    </a:prstGeom>
                    <a:noFill/>
                    <a:ln w="9525">
                      <a:noFill/>
                      <a:headEnd/>
                      <a:tailEnd/>
                    </a:ln>
                  </pic:spPr>
                </pic:pic>
              </a:graphicData>
            </a:graphic>
          </wp:inline>
        </w:drawing>
      </w:r>
    </w:p>
    <w:p>
      <w:pPr>
        <w:pStyle w:val="Compact"/>
        <w:numPr>
          <w:ilvl w:val="0"/>
          <w:numId w:val="1010"/>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numPr>
          <w:ilvl w:val="0"/>
          <w:numId w:val="1010"/>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numPr>
          <w:ilvl w:val="0"/>
          <w:numId w:val="1010"/>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numPr>
          <w:ilvl w:val="0"/>
          <w:numId w:val="1010"/>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12"/>
        </w:numPr>
        <w:ind w:firstLine="420"/>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p>
    <w:p>
      <w:pPr>
        <w:pStyle w:val="Compact"/>
        <w:numPr>
          <w:ilvl w:val="0"/>
          <w:numId w:val="1012"/>
        </w:numPr>
        <w:ind w:firstLine="420"/>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tcBorders>
              <w:bottom w:val="single" w:sz="6" w:space="0" w:color="333333"/>
            </w:tcBorders>
          </w:tcPr>
          <w:p>
            <w:pPr>
              <w:pStyle w:val="Compact"/>
              <w:jc w:val="center"/>
            </w:pPr>
            <w:r>
              <w:rPr>
                <w:rFonts w:ascii="Times New Roman" w:hAnsi="Times New Roman" w:eastAsia="Times New Roman" w:cs="Times New Roman"/>
                <w:b/>
              </w:rPr>
              <w:t xml:space="preserve">260</w:t>
            </w:r>
          </w:p>
        </w:tc>
        <w:tc>
          <w:tcPr>
            <w:tcBorders>
              <w:bottom w:val="single" w:sz="6" w:space="0" w:color="333333"/>
            </w:tcBorders>
          </w:tcPr>
          <w:p>
            <w:pPr>
              <w:pStyle w:val="Compact"/>
              <w:jc w:val="center"/>
            </w:pPr>
            <w:r>
              <w:rPr>
                <w:rFonts w:ascii="Times New Roman" w:hAnsi="Times New Roman" w:eastAsia="Times New Roman" w:cs="Times New Roman"/>
                <w:b/>
              </w:rPr>
              <w:t xml:space="preserve">395</w:t>
            </w:r>
          </w:p>
        </w:tc>
        <w:tc>
          <w:tcPr>
            <w:tcBorders>
              <w:bottom w:val="single" w:sz="6" w:space="0" w:color="333333"/>
            </w:tcBorders>
          </w:tcPr>
          <w:p>
            <w:pPr>
              <w:pStyle w:val="Compact"/>
              <w:jc w:val="center"/>
            </w:pPr>
            <w:r>
              <w:rPr>
                <w:rFonts w:ascii="Times New Roman" w:hAnsi="Times New Roman" w:eastAsia="Times New Roman" w:cs="Times New Roman"/>
                <w:b/>
              </w:rPr>
              <w:t xml:space="preserve">720</w:t>
            </w:r>
          </w:p>
        </w:tc>
        <w:tc>
          <w:tcPr>
            <w:tcBorders>
              <w:bottom w:val="single" w:sz="6" w:space="0" w:color="333333"/>
            </w:tcBorders>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ind w:firstLine="4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3"/>
        </w:numPr>
        <w:ind w:firstLine="420"/>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tcBorders>
              <w:bottom w:val="single" w:sz="6" w:space="0" w:color="333333"/>
            </w:tcBorders>
          </w:tcPr>
          <w:p>
            <w:pPr>
              <w:pStyle w:val="Compact"/>
              <w:jc w:val="center"/>
            </w:pPr>
            <w:r>
              <w:rPr>
                <w:rFonts w:ascii="Times New Roman" w:hAnsi="Times New Roman" w:eastAsia="Times New Roman" w:cs="Times New Roman"/>
                <w:b/>
              </w:rPr>
              <w:t xml:space="preserve">1.0000</w:t>
            </w:r>
          </w:p>
        </w:tc>
        <w:tc>
          <w:tcPr>
            <w:tcBorders>
              <w:bottom w:val="single" w:sz="6" w:space="0" w:color="333333"/>
            </w:tcBorders>
          </w:tcPr>
          <w:p>
            <w:pPr>
              <w:pStyle w:val="Compact"/>
              <w:jc w:val="center"/>
            </w:pPr>
            <w:r>
              <w:rPr>
                <w:rFonts w:ascii="Times New Roman" w:hAnsi="Times New Roman" w:eastAsia="Times New Roman" w:cs="Times New Roman"/>
                <w:b/>
              </w:rPr>
              <w:t xml:space="preserve">0.7500</w:t>
            </w:r>
          </w:p>
        </w:tc>
        <w:tc>
          <w:tcPr>
            <w:tcBorders>
              <w:bottom w:val="single" w:sz="6" w:space="0" w:color="333333"/>
            </w:tcBorders>
          </w:tcPr>
          <w:p>
            <w:pPr>
              <w:pStyle w:val="Compact"/>
              <w:jc w:val="center"/>
            </w:pPr>
            <w:r>
              <w:rPr>
                <w:rFonts w:ascii="Times New Roman" w:hAnsi="Times New Roman" w:eastAsia="Times New Roman" w:cs="Times New Roman"/>
                <w:b/>
              </w:rPr>
              <w:t xml:space="preserve">0.5000</w:t>
            </w:r>
          </w:p>
        </w:tc>
        <w:tc>
          <w:tcPr>
            <w:tcBorders>
              <w:bottom w:val="single" w:sz="6" w:space="0" w:color="333333"/>
            </w:tcBorders>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ind w:firstLine="4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气体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吸入气体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4"/>
        </w:numPr>
        <w:spacing w:before="120"/>
        <w:ind w:firstLine="4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 /atm</w:t>
            </w:r>
          </w:p>
        </w:tc>
        <w:tc>
          <w:tcPr>
            <w:tcBorders>
              <w:bottom w:val="single" w:sz="6" w:space="0" w:color="333333"/>
            </w:tcBorders>
          </w:tcPr>
          <w:p>
            <w:pPr>
              <w:pStyle w:val="Compact"/>
              <w:jc w:val="center"/>
            </w:pPr>
            <w:r>
              <w:rPr>
                <w:rFonts w:ascii="Times New Roman" w:hAnsi="Times New Roman" w:eastAsia="Times New Roman" w:cs="Times New Roman"/>
                <w:b/>
              </w:rPr>
              <w:t xml:space="preserve">0.2</w:t>
            </w:r>
          </w:p>
        </w:tc>
        <w:tc>
          <w:tcPr>
            <w:tcBorders>
              <w:bottom w:val="single" w:sz="6" w:space="0" w:color="333333"/>
            </w:tcBorders>
          </w:tcPr>
          <w:p>
            <w:pPr>
              <w:pStyle w:val="Compact"/>
              <w:jc w:val="center"/>
            </w:pPr>
            <w:r>
              <w:rPr>
                <w:rFonts w:ascii="Times New Roman" w:hAnsi="Times New Roman" w:eastAsia="Times New Roman" w:cs="Times New Roman"/>
                <w:b/>
              </w:rPr>
              <w:t xml:space="preserve">0.4</w:t>
            </w:r>
          </w:p>
        </w:tc>
        <w:tc>
          <w:tcPr>
            <w:tcBorders>
              <w:bottom w:val="single" w:sz="6" w:space="0" w:color="333333"/>
            </w:tcBorders>
          </w:tcPr>
          <w:p>
            <w:pPr>
              <w:pStyle w:val="Compact"/>
              <w:jc w:val="center"/>
            </w:pPr>
            <w:r>
              <w:rPr>
                <w:rFonts w:ascii="Times New Roman" w:hAnsi="Times New Roman" w:eastAsia="Times New Roman" w:cs="Times New Roman"/>
                <w:b/>
              </w:rPr>
              <w:t xml:space="preserve">0.6</w:t>
            </w:r>
          </w:p>
        </w:tc>
        <w:tc>
          <w:tcPr>
            <w:tcBorders>
              <w:bottom w:val="single" w:sz="6" w:space="0" w:color="333333"/>
            </w:tcBorders>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ind w:firstLine="4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5"/>
        </w:numPr>
        <w:spacing w:before="120"/>
        <w:ind w:firstLine="4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1073</w:t>
            </w:r>
          </w:p>
        </w:tc>
        <w:tc>
          <w:tcPr>
            <w:tcBorders>
              <w:bottom w:val="single" w:sz="6" w:space="0" w:color="333333"/>
            </w:tcBorders>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numPr>
          <w:ilvl w:val="0"/>
          <w:numId w:val="1016"/>
        </w:numPr>
        <w:spacing w:after="80"/>
        <w:ind w:firstLine="420"/>
      </w:pP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化学键</w:t>
            </w:r>
          </w:p>
        </w:tc>
        <w:tc>
          <w:tcPr>
            <w:tcBorders>
              <w:bottom w:val="single" w:sz="6" w:space="0" w:color="333333"/>
            </w:tcBorders>
          </w:tcPr>
          <w:p>
            <w:pPr>
              <w:pStyle w:val="Compact"/>
              <w:jc w:val="center"/>
            </w:pPr>
            <w:r>
              <w:rPr>
                <w:rFonts w:ascii="Times New Roman" w:hAnsi="Times New Roman" w:eastAsia="Times New Roman" w:cs="Times New Roman"/>
                <w:b/>
              </w:rPr>
              <w:t xml:space="preserve">H—H</w:t>
            </w:r>
          </w:p>
        </w:tc>
        <w:tc>
          <w:tcPr>
            <w:tcBorders>
              <w:bottom w:val="single" w:sz="6" w:space="0" w:color="333333"/>
            </w:tcBorders>
          </w:tcPr>
          <w:p>
            <w:pPr>
              <w:pStyle w:val="Compact"/>
              <w:jc w:val="center"/>
            </w:pPr>
            <w:r>
              <w:rPr>
                <w:rFonts w:ascii="Times New Roman" w:hAnsi="Times New Roman" w:eastAsia="Times New Roman" w:cs="Times New Roman"/>
                <w:b/>
              </w:rPr>
              <w:t xml:space="preserve">N—H</w:t>
            </w:r>
          </w:p>
        </w:tc>
        <w:tc>
          <w:tcPr>
            <w:tcBorders>
              <w:bottom w:val="single" w:sz="6" w:space="0" w:color="333333"/>
            </w:tcBorders>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ind w:firstLine="4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Compact"/>
        <w:numPr>
          <w:ilvl w:val="0"/>
          <w:numId w:val="1017"/>
        </w:numPr>
        <w:ind w:firstLine="420"/>
      </w:pP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
    <w:bookmarkStart w:id="4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已知四氧化二氮的分解反应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4.75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试判断在此温度及下列条件下</w:t>
      </w:r>
      <w:r>
        <w:rPr>
          <w:rFonts w:hint="eastAsia" w:ascii="Times New Roman" w:hAnsi="Times New Roman" w:eastAsia="Times New Roman" w:cs="Times New Roman"/>
        </w:rPr>
        <w:t>，</w:t>
      </w:r>
      <w:r>
        <w:rPr>
          <w:rFonts w:hint="eastAsia" w:ascii="Times New Roman" w:hAnsi="Times New Roman" w:eastAsia="FangSong" w:cs="Times New Roman"/>
        </w:rPr>
        <w:t>反应进行的自发方向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N</m:t>
              </m:r>
            </m:e>
            <m:sub>
              <m:r>
                <m:t>2</m:t>
              </m:r>
            </m:sub>
          </m:sSub>
          <m:sSub>
            <m:e>
              <m:r>
                <m:rPr>
                  <m:sty m:val="p"/>
                </m:rPr>
                <m:t>O</m:t>
              </m:r>
            </m:e>
            <m:sub>
              <m:r>
                <m:t>4</m:t>
              </m:r>
            </m:sub>
          </m:sSub>
          <m:r>
            <m:rPr>
              <m:sty m:val="p"/>
            </m:rPr>
            <m:t>(</m:t>
          </m:r>
          <m:r>
            <m:t>1</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O</m:t>
              </m:r>
            </m:e>
            <m:sub>
              <m:r>
                <m:t>4</m:t>
              </m:r>
            </m:sub>
          </m:sSub>
          <m:r>
            <m:rPr>
              <m:sty m:val="p"/>
            </m:rPr>
            <m:t>(</m:t>
          </m:r>
          <m:r>
            <m:t>1</m:t>
          </m:r>
          <m:r>
            <m:t>0</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3</m:t>
          </m:r>
          <m:r>
            <m:t> </m:t>
          </m:r>
          <m:sSub>
            <m:e>
              <m:r>
                <m:rPr>
                  <m:sty m:val="p"/>
                </m:rPr>
                <m:t>N</m:t>
              </m:r>
            </m:e>
            <m:sub>
              <m:r>
                <m:t>2</m:t>
              </m:r>
            </m:sub>
          </m:sSub>
          <m:sSub>
            <m:e>
              <m:r>
                <m:rPr>
                  <m:sty m:val="p"/>
                </m:rPr>
                <m:t>O</m:t>
              </m:r>
            </m:e>
            <m:sub>
              <m:r>
                <m:t>4</m:t>
              </m:r>
            </m:sub>
          </m:sSub>
          <m:r>
            <m:rPr>
              <m:sty m:val="p"/>
            </m:rPr>
            <m:t>(</m:t>
          </m:r>
          <m:r>
            <m:t>3</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2</m:t>
          </m:r>
          <m:r>
            <m:t>0</m:t>
          </m:r>
          <m:r>
            <m:t>0</m:t>
          </m:r>
          <m:r>
            <m:rPr>
              <m:sty m:val="p"/>
            </m:rPr>
            <m:t>k</m:t>
          </m:r>
          <m:r>
            <m:rPr>
              <m:sty m:val="p"/>
            </m:rPr>
            <m:t>P</m:t>
          </m:r>
          <m:r>
            <m:rPr>
              <m:sty m:val="p"/>
            </m:rPr>
            <m:t>a</m:t>
          </m:r>
          <m:r>
            <m:rPr>
              <m:sty m:val="p"/>
            </m:rPr>
            <m:t>)</m:t>
          </m:r>
          <m:r>
            <m:rPr>
              <m:sty m:val="p"/>
            </m:rPr>
            <m:t>。</m:t>
          </m:r>
        </m:oMath>
      </m:oMathPara>
    </w:p>
    <w:p>
      <w:pPr>
        <w:spacing w:before="160" w:after="80"/>
      </w:pPr>
      <w:r>
        <w:pict>
          <v:rect style="width:0;height:1.5pt" o:hralign="center" o:hrstd="t" o:hr="t"/>
        </w:pict>
      </w:r>
    </w:p>
    <w:bookmarkEnd w:id="46"/>
    <w:bookmarkStart w:id="4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18"/>
        </w:numPr>
        <w:ind w:firstLine="420"/>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ind w:firstLine="420"/>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spacing w:after="80"/>
        <w:ind w:firstLine="42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tcBorders>
              <w:bottom w:val="single" w:sz="6" w:space="0" w:color="333333"/>
            </w:tcBorders>
          </w:tcPr>
          <w:p>
            <w:pPr>
              <w:pStyle w:val="Compact"/>
              <w:jc w:val="center"/>
            </w:pPr>
            <w:r>
              <w:rPr>
                <w:rFonts w:ascii="Times New Roman" w:hAnsi="Times New Roman" w:eastAsia="Times New Roman" w:cs="Times New Roman"/>
                <w:b/>
              </w:rPr>
              <w:t xml:space="preserve">0.042</w:t>
            </w:r>
          </w:p>
        </w:tc>
        <w:tc>
          <w:tcPr>
            <w:tcBorders>
              <w:bottom w:val="single" w:sz="6" w:space="0" w:color="333333"/>
            </w:tcBorders>
          </w:tcPr>
          <w:p>
            <w:pPr>
              <w:pStyle w:val="Compact"/>
              <w:jc w:val="center"/>
            </w:pPr>
            <w:r>
              <w:rPr>
                <w:rFonts w:ascii="Times New Roman" w:hAnsi="Times New Roman" w:eastAsia="Times New Roman" w:cs="Times New Roman"/>
                <w:b/>
              </w:rPr>
              <w:t xml:space="preserve">0.092</w:t>
            </w:r>
          </w:p>
        </w:tc>
        <w:tc>
          <w:tcPr>
            <w:tcBorders>
              <w:bottom w:val="single" w:sz="6" w:space="0" w:color="333333"/>
            </w:tcBorders>
          </w:tcPr>
          <w:p>
            <w:pPr>
              <w:pStyle w:val="Compact"/>
              <w:jc w:val="center"/>
            </w:pPr>
            <w:r>
              <w:rPr>
                <w:rFonts w:ascii="Times New Roman" w:hAnsi="Times New Roman" w:eastAsia="Times New Roman" w:cs="Times New Roman"/>
                <w:b/>
              </w:rPr>
              <w:t xml:space="preserve">0.204</w:t>
            </w:r>
          </w:p>
        </w:tc>
        <w:tc>
          <w:tcPr>
            <w:tcBorders>
              <w:bottom w:val="single" w:sz="6" w:space="0" w:color="333333"/>
            </w:tcBorders>
          </w:tcPr>
          <w:p>
            <w:pPr>
              <w:pStyle w:val="Compact"/>
              <w:jc w:val="center"/>
            </w:pPr>
            <w:r>
              <w:rPr>
                <w:rFonts w:ascii="Times New Roman" w:hAnsi="Times New Roman" w:eastAsia="Times New Roman" w:cs="Times New Roman"/>
                <w:b/>
              </w:rPr>
              <w:t xml:space="preserve">0.526</w:t>
            </w:r>
          </w:p>
        </w:tc>
        <w:tc>
          <w:tcPr>
            <w:tcBorders>
              <w:bottom w:val="single" w:sz="6" w:space="0" w:color="333333"/>
            </w:tcBorders>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47"/>
    <w:bookmarkEnd w:id="48"/>
    <w:bookmarkEnd w:id="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20" Type="http://schemas.openxmlformats.org/officeDocument/2006/relationships/image" Target="media/rId20.png"/><Relationship Id="rId24" Type="http://schemas.openxmlformats.org/officeDocument/2006/relationships/image" Target="media/rId24.png"/><Relationship Id="rId16" Type="http://schemas.openxmlformats.org/officeDocument/2006/relationships/image" Target="media/rId16.png"/><Relationship Id="rId14"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2026-10-11T13:21:32Z</dcterms:created>
  <dcterms:modified xsi:type="dcterms:W3CDTF">2026-10-11T13:21:32Z</dcterms:modified>
</cp:coreProperties>
</file>

<file path=docProps/custom.xml><?xml version="1.0" encoding="utf-8"?>
<Properties xmlns="http://schemas.openxmlformats.org/officeDocument/2006/custom-properties" xmlns:vt="http://schemas.openxmlformats.org/officeDocument/2006/docPropsVTypes"/>
</file>