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一轮综合练习-第12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56"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C</m:t>
        </m:r>
        <m:sSub>
          <m:e>
            <m:r>
              <m:t>l</m:t>
            </m:r>
          </m:e>
          <m:sub>
            <m:r>
              <m:t>3</m:t>
            </m:r>
          </m:sub>
        </m:sSub>
      </m:oMath>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S</m:t>
        </m:r>
        <m:sSub>
          <m:e>
            <m:r>
              <m:t>F</m:t>
            </m:r>
          </m:e>
          <m:sub>
            <m:r>
              <m:t>4</m:t>
            </m:r>
          </m:sub>
        </m:sSub>
      </m:oMath>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01"/>
        </w:numPr>
        <w:ind w:firstLine="420"/>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01"/>
        </w:numPr>
        <w:ind w:firstLine="420"/>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18.9%</w:t>
      </w:r>
      <w:r>
        <w:rPr>
          <w:rFonts w:ascii="Times New Roman" w:hAnsi="Times New Roman" w:eastAsia="Times New Roman" w:cs="Times New Roman"/>
        </w:rPr>
        <w:t xml:space="preserve"> </w:t>
      </w:r>
      <w:r>
        <w:rPr>
          <w:rFonts w:ascii="Times New Roman" w:hAnsi="Times New Roman" w:eastAsia="Times New Roman" w:cs="Times New Roman"/>
        </w:rPr>
        <w:t xml:space="preserve">- B. 15.1%</w:t>
      </w:r>
      <w:r>
        <w:rPr>
          <w:rFonts w:ascii="Times New Roman" w:hAnsi="Times New Roman" w:eastAsia="Times New Roman" w:cs="Times New Roman"/>
        </w:rPr>
        <w:t xml:space="preserve"> </w:t>
      </w:r>
      <w:r>
        <w:rPr>
          <w:rFonts w:ascii="Times New Roman" w:hAnsi="Times New Roman" w:eastAsia="Times New Roman" w:cs="Times New Roman"/>
        </w:rPr>
        <w:t xml:space="preserve">- C. 30.2%</w:t>
      </w:r>
      <w:r>
        <w:rPr>
          <w:rFonts w:ascii="Times New Roman" w:hAnsi="Times New Roman" w:eastAsia="Times New Roman" w:cs="Times New Roman"/>
        </w:rPr>
        <w:t xml:space="preserve"> </w:t>
      </w:r>
      <w:r>
        <w:rPr>
          <w:rFonts w:ascii="Times New Roman" w:hAnsi="Times New Roman" w:eastAsia="Times New Roman" w:cs="Times New Roman"/>
        </w:rPr>
        <w:t xml:space="preserve">- D. 38.9%</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用第</w:t>
      </w:r>
      <w:r>
        <w:rPr>
          <w:rFonts w:ascii="Times New Roman" w:hAnsi="Times New Roman" w:eastAsia="Times New Roman" w:cs="Times New Roman"/>
        </w:rPr>
        <w:t xml:space="preserve"> 117 </w:t>
      </w:r>
      <w:r>
        <w:rPr>
          <w:rFonts w:hint="eastAsia" w:ascii="Times New Roman" w:hAnsi="Times New Roman" w:eastAsia="FangSong" w:cs="Times New Roman"/>
        </w:rPr>
        <w:t>号元素的符号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Compact"/>
        <w:numPr>
          <w:ilvl w:val="0"/>
          <w:numId w:val="1003"/>
        </w:numPr>
        <w:ind w:firstLine="420"/>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25769"/>
            <wp:effectExtent b="0" l="0" r="0" t="0"/>
            <wp:docPr descr="" title="" id="18" name="Picture"/>
            <a:graphic>
              <a:graphicData uri="http://schemas.openxmlformats.org/drawingml/2006/picture">
                <pic:pic>
                  <pic:nvPicPr>
                    <pic:cNvPr descr="5ee85bd77d93d82b8b40e78f2faf8439b4d1b5db60bbb49f2763602e9d0c4bad.jpg" id="19" name="Picture"/>
                    <pic:cNvPicPr>
                      <a:picLocks noChangeArrowheads="1" noChangeAspect="1"/>
                    </pic:cNvPicPr>
                  </pic:nvPicPr>
                  <pic:blipFill>
                    <a:blip r:embed="rId17"/>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21" name="Picture"/>
            <a:graphic>
              <a:graphicData uri="http://schemas.openxmlformats.org/drawingml/2006/picture">
                <pic:pic>
                  <pic:nvPicPr>
                    <pic:cNvPr descr="3daf35ad289cc3583abe5afb079ec9eed289a98e81dacf6c671bd841075b2925.jpg" id="22" name="Picture"/>
                    <pic:cNvPicPr>
                      <a:picLocks noChangeArrowheads="1" noChangeAspect="1"/>
                    </pic:cNvPicPr>
                  </pic:nvPicPr>
                  <pic:blipFill>
                    <a:blip r:embed="rId20"/>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04"/>
        </w:numPr>
        <w:ind w:firstLine="420"/>
      </w:pP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numPr>
          <w:ilvl w:val="0"/>
          <w:numId w:val="1004"/>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numPr>
          <w:ilvl w:val="0"/>
          <w:numId w:val="1004"/>
        </w:numPr>
        <w:ind w:firstLine="420"/>
      </w:pP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p>
    <w:p>
      <w:pPr>
        <w:pStyle w:val="Compact"/>
        <w:numPr>
          <w:ilvl w:val="0"/>
          <w:numId w:val="1006"/>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spacing w:before="160" w:after="80"/>
        <w:jc w:val="center"/>
      </w:pPr>
      <w:r>
        <w:rPr>
          <w:rFonts w:ascii="Times New Roman" w:hAnsi="Times New Roman" w:eastAsia="Times New Roman" w:cs="Times New Roman"/>
        </w:rPr>
        <w:drawing>
          <wp:inline>
            <wp:extent cx="3600000" cy="2308332"/>
            <wp:effectExtent b="0" l="0" r="0" t="0"/>
            <wp:docPr descr="" title="" id="29" name="Picture"/>
            <a:graphic>
              <a:graphicData uri="http://schemas.openxmlformats.org/drawingml/2006/picture">
                <pic:pic>
                  <pic:nvPicPr>
                    <pic:cNvPr descr="7937fa3a4ad6d5d9124ba067bca2710abd9c4ab591c0e70741f298f0452bda78.png" id="30" name="Picture"/>
                    <pic:cNvPicPr>
                      <a:picLocks noChangeArrowheads="1" noChangeAspect="1"/>
                    </pic:cNvPicPr>
                  </pic:nvPicPr>
                  <pic:blipFill>
                    <a:blip r:embed="rId28"/>
                    <a:stretch>
                      <a:fillRect/>
                    </a:stretch>
                  </pic:blipFill>
                  <pic:spPr bwMode="auto">
                    <a:xfrm>
                      <a:off x="0" y="0"/>
                      <a:ext cx="3600000" cy="23083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p>
    <w:p>
      <w:pPr>
        <w:pStyle w:val="Compact"/>
        <w:numPr>
          <w:ilvl w:val="0"/>
          <w:numId w:val="1009"/>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092"/>
        <w:gridCol w:w="1365"/>
        <w:gridCol w:w="1365"/>
        <w:gridCol w:w="1365"/>
        <w:gridCol w:w="1365"/>
        <w:gridCol w:w="1365"/>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ascii="Times New Roman" w:hAnsi="Times New Roman" w:eastAsia="Times New Roman" w:cs="Times New Roman"/>
                <w:b/>
              </w:rPr>
              <w:t xml:space="preserve">FeO (s)</w:t>
            </w:r>
          </w:p>
        </w:tc>
        <w:tc>
          <w:tcPr>
            <w:tcBorders>
              <w:bottom w:val="single" w:sz="6" w:space="0" w:color="000000"/>
            </w:tcBorders>
          </w:tcPr>
          <w:p>
            <w:pPr>
              <w:pStyle w:val="Compact"/>
              <w:jc w:val="center"/>
            </w:pPr>
            <w:r>
              <w:rPr>
                <w:rFonts w:ascii="Times New Roman" w:hAnsi="Times New Roman" w:eastAsia="Times New Roman" w:cs="Times New Roman"/>
                <w:b/>
              </w:rPr>
              <w:t xml:space="preserve">Fe (s)</w:t>
            </w:r>
          </w:p>
        </w:tc>
        <w:tc>
          <w:tcPr>
            <w:tcBorders>
              <w:bottom w:val="single" w:sz="6" w:space="0" w:color="000000"/>
            </w:tcBorders>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CO (g)</w:t>
            </w:r>
          </w:p>
        </w:tc>
        <w:tc>
          <w:tcPr>
            <w:tcBorders>
              <w:bottom w:val="single" w:sz="6" w:space="0" w:color="000000"/>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Compact"/>
        <w:numPr>
          <w:ilvl w:val="0"/>
          <w:numId w:val="1011"/>
        </w:numPr>
        <w:spacing w:before="120"/>
        <w:ind w:firstLine="420"/>
      </w:pP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Compact"/>
        <w:numPr>
          <w:ilvl w:val="0"/>
          <w:numId w:val="1012"/>
        </w:numPr>
        <w:ind w:firstLine="420"/>
      </w:pP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34"/>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美国</w:t>
      </w:r>
      <w:r>
        <w:rPr>
          <w:rFonts w:ascii="Times New Roman" w:hAnsi="Times New Roman" w:eastAsia="Times New Roman" w:cs="Times New Roman"/>
        </w:rPr>
        <w:t xml:space="preserve"> Monsanto </w:t>
      </w:r>
      <w:r>
        <w:rPr>
          <w:rFonts w:hint="eastAsia" w:ascii="Times New Roman" w:hAnsi="Times New Roman" w:eastAsia="FangSong" w:cs="Times New Roman"/>
        </w:rPr>
        <w:t xml:space="preserve">公司生产了一种除草剂名为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40138"/>
            <wp:effectExtent b="0" l="0" r="0" t="0"/>
            <wp:docPr descr="" title="" id="36" name="Picture"/>
            <a:graphic>
              <a:graphicData uri="http://schemas.openxmlformats.org/drawingml/2006/picture">
                <pic:pic>
                  <pic:nvPicPr>
                    <pic:cNvPr descr="0bd8e9a0ee0b005d.png" id="37" name="Picture"/>
                    <pic:cNvPicPr>
                      <a:picLocks noChangeArrowheads="1" noChangeAspect="1"/>
                    </pic:cNvPicPr>
                  </pic:nvPicPr>
                  <pic:blipFill>
                    <a:blip r:embed="rId35"/>
                    <a:stretch>
                      <a:fillRect/>
                    </a:stretch>
                  </pic:blipFill>
                  <pic:spPr bwMode="auto">
                    <a:xfrm>
                      <a:off x="0" y="0"/>
                      <a:ext cx="3600000" cy="104013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酸式电离常数如下</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a1</w:t>
      </w:r>
      <w:r>
        <w:rPr>
          <w:rFonts w:ascii="Times New Roman" w:hAnsi="Times New Roman" w:eastAsia="Times New Roman" w:cs="Times New Roman"/>
        </w:rPr>
        <w:t xml:space="preserve"> = </w:t>
      </w:r>
      <w:r>
        <w:rPr>
          <w:rFonts w:hint="eastAsia" w:ascii="Times New Roman" w:hAnsi="Times New Roman" w:eastAsia="Times New Roman" w:cs="Times New Roman"/>
        </w:rPr>
        <w:t>0.8，pK</w:t>
      </w:r>
      <w:r>
        <w:rPr>
          <w:rFonts w:hint="eastAsia" w:ascii="Times New Roman" w:hAnsi="Times New Roman" w:eastAsia="Times New Roman" w:cs="Times New Roman"/>
          <w:vertAlign w:val="subscript"/>
        </w:rPr>
        <w:t>a2</w:t>
      </w:r>
      <w:r>
        <w:rPr>
          <w:rFonts w:ascii="Times New Roman" w:hAnsi="Times New Roman" w:eastAsia="Times New Roman" w:cs="Times New Roman"/>
        </w:rPr>
        <w:t xml:space="preserve"> = </w:t>
      </w:r>
      <w:r>
        <w:rPr>
          <w:rFonts w:hint="eastAsia" w:ascii="Times New Roman" w:hAnsi="Times New Roman" w:eastAsia="Times New Roman" w:cs="Times New Roman"/>
        </w:rPr>
        <w:t>2.3，pK</w:t>
      </w:r>
      <w:r>
        <w:rPr>
          <w:rFonts w:hint="eastAsia" w:ascii="Times New Roman" w:hAnsi="Times New Roman" w:eastAsia="Times New Roman" w:cs="Times New Roman"/>
          <w:vertAlign w:val="subscript"/>
        </w:rPr>
        <w:t>a3</w:t>
      </w:r>
      <w:r>
        <w:rPr>
          <w:rFonts w:ascii="Times New Roman" w:hAnsi="Times New Roman" w:eastAsia="Times New Roman" w:cs="Times New Roman"/>
        </w:rPr>
        <w:t xml:space="preserve"> = </w:t>
      </w:r>
      <w:r>
        <w:rPr>
          <w:rFonts w:hint="eastAsia" w:ascii="Times New Roman" w:hAnsi="Times New Roman" w:eastAsia="Times New Roman" w:cs="Times New Roman"/>
        </w:rPr>
        <w:t>6.0，pK</w:t>
      </w:r>
      <w:r>
        <w:rPr>
          <w:rFonts w:hint="eastAsia" w:ascii="Times New Roman" w:hAnsi="Times New Roman" w:eastAsia="Times New Roman" w:cs="Times New Roman"/>
          <w:vertAlign w:val="subscript"/>
        </w:rPr>
        <w:t>a4</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又已知</w:t>
      </w:r>
      <w:r>
        <w:rPr>
          <w:rFonts w:ascii="Times New Roman" w:hAnsi="Times New Roman" w:eastAsia="Times New Roman" w:cs="Times New Roman"/>
        </w:rPr>
        <w:t xml:space="preserve"> Roundup </w:t>
      </w:r>
      <w:r>
        <w:rPr>
          <w:rFonts w:hint="eastAsia" w:ascii="Times New Roman" w:hAnsi="Times New Roman" w:eastAsia="FangSong" w:cs="Times New Roman"/>
        </w:rPr>
        <w:t>中羧基的电离常数介于上述取代基磷酸的一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p>
    <w:p>
      <w:pPr>
        <w:pStyle w:val="Compact"/>
        <w:numPr>
          <w:ilvl w:val="0"/>
          <w:numId w:val="101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经实验测定</w:t>
      </w:r>
      <w:r>
        <w:rPr>
          <w:rFonts w:hint="eastAsia" w:ascii="Times New Roman" w:hAnsi="Times New Roman" w:eastAsia="Times New Roman" w:cs="Times New Roman"/>
        </w:rPr>
        <w:t>，</w:t>
      </w:r>
      <w:r>
        <w:rPr>
          <w:rFonts w:hint="eastAsia" w:ascii="Times New Roman" w:hAnsi="Times New Roman" w:eastAsia="FangSong" w:cs="Times New Roman"/>
        </w:rPr>
        <w:t>该物质熔点高达</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其最主要的原因是分子间氢键的作用</w:t>
      </w:r>
    </w:p>
    <w:p>
      <w:pPr>
        <w:pStyle w:val="Compact"/>
        <w:numPr>
          <w:ilvl w:val="0"/>
          <w:numId w:val="101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韧皮液形态</w:t>
      </w:r>
      <w:r>
        <w:rPr>
          <w:rFonts w:hint="eastAsia" w:ascii="Times New Roman" w:hAnsi="Times New Roman" w:eastAsia="Times New Roman" w:cs="Times New Roman"/>
        </w:rPr>
        <w:t>（pH≈8）：</w:t>
      </w:r>
      <w:r>
        <w:rPr>
          <w:rFonts w:ascii="Times New Roman" w:hAnsi="Times New Roman" w:eastAsia="Times New Roman" w:cs="Times New Roman"/>
        </w:rPr>
        <w:drawing>
          <wp:inline>
            <wp:extent cx="3136900" cy="901700"/>
            <wp:effectExtent b="0" l="0" r="0" t="0"/>
            <wp:docPr descr="" title="" id="39" name="Picture"/>
            <a:graphic>
              <a:graphicData uri="http://schemas.openxmlformats.org/drawingml/2006/picture">
                <pic:pic>
                  <pic:nvPicPr>
                    <pic:cNvPr descr="98b729598659fcd371537d4e01b4bbe94bcca551387271b0ad51a35516f66c18.png" id="40" name="Picture"/>
                    <pic:cNvPicPr>
                      <a:picLocks noChangeArrowheads="1" noChangeAspect="1"/>
                    </pic:cNvPicPr>
                  </pic:nvPicPr>
                  <pic:blipFill>
                    <a:blip r:embed="rId38"/>
                    <a:stretch>
                      <a:fillRect/>
                    </a:stretch>
                  </pic:blipFill>
                  <pic:spPr bwMode="auto">
                    <a:xfrm>
                      <a:off x="0" y="0"/>
                      <a:ext cx="31369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植物木质部和细胞内液的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5~6，Roundup</w:t>
      </w:r>
      <w:r>
        <w:rPr>
          <w:rFonts w:ascii="Times New Roman" w:hAnsi="Times New Roman" w:eastAsia="Times New Roman" w:cs="Times New Roman"/>
        </w:rPr>
        <w:t xml:space="preserve"> </w:t>
      </w:r>
      <w:r>
        <w:rPr>
          <w:rFonts w:hint="eastAsia" w:ascii="Times New Roman" w:hAnsi="Times New Roman" w:eastAsia="FangSong" w:cs="Times New Roman"/>
        </w:rPr>
        <w:t>在细胞内液中的主要存在形态为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细胞内液形态</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w:t>
      </w:r>
      <w:r>
        <w:rPr>
          <w:rFonts w:ascii="Times New Roman" w:hAnsi="Times New Roman" w:eastAsia="Times New Roman" w:cs="Times New Roman"/>
        </w:rPr>
        <w:drawing>
          <wp:inline>
            <wp:extent cx="3276600" cy="1143000"/>
            <wp:effectExtent b="0" l="0" r="0" t="0"/>
            <wp:docPr descr="" title="" id="42" name="Picture"/>
            <a:graphic>
              <a:graphicData uri="http://schemas.openxmlformats.org/drawingml/2006/picture">
                <pic:pic>
                  <pic:nvPicPr>
                    <pic:cNvPr descr="839dd54c2120a78c83fa7dde3a07c8df642a1fb2bc03aad4bb6f3fa3922fb68a.png" id="43" name="Picture"/>
                    <pic:cNvPicPr>
                      <a:picLocks noChangeArrowheads="1" noChangeAspect="1"/>
                    </pic:cNvPicPr>
                  </pic:nvPicPr>
                  <pic:blipFill>
                    <a:blip r:embed="rId41"/>
                    <a:stretch>
                      <a:fillRect/>
                    </a:stretch>
                  </pic:blipFill>
                  <pic:spPr bwMode="auto">
                    <a:xfrm>
                      <a:off x="0" y="0"/>
                      <a:ext cx="3276600" cy="114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不可直接测量</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要测量其</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必须先把其转化为其强酸盐</w:t>
      </w:r>
    </w:p>
    <w:p>
      <w:pPr>
        <w:spacing w:before="160" w:after="80"/>
      </w:pPr>
      <w:r>
        <w:pict>
          <v:rect style="width:0;height:1.5pt" o:hralign="center" o:hrstd="t" o:hr="t"/>
        </w:pict>
      </w:r>
    </w:p>
    <w:bookmarkEnd w:id="44"/>
    <w:bookmarkStart w:id="4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50.00 mL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25.00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加入</w:t>
      </w:r>
      <w:r>
        <w:rPr>
          <w:rFonts w:ascii="Times New Roman" w:hAnsi="Times New Roman" w:eastAsia="Times New Roman" w:cs="Times New Roman"/>
        </w:rPr>
        <w:t xml:space="preserve"> 50.00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则下列相关叙述不正确的是</w:t>
      </w:r>
    </w:p>
    <w:p>
      <w:pPr>
        <w:pStyle w:val="Compact"/>
        <w:numPr>
          <w:ilvl w:val="0"/>
          <w:numId w:val="1014"/>
        </w:numPr>
        <w:ind w:firstLine="420"/>
      </w:pP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6.0×10</w:t>
      </w:r>
      <w:r>
        <w:rPr>
          <w:rFonts w:ascii="Times New Roman" w:hAnsi="Times New Roman" w:eastAsia="Times New Roman" w:cs="Times New Roman"/>
          <w:vertAlign w:val="superscript"/>
        </w:rPr>
        <w:t>-7</w:t>
      </w:r>
    </w:p>
    <w:p>
      <w:pPr>
        <w:pStyle w:val="Compact"/>
        <w:numPr>
          <w:ilvl w:val="0"/>
          <w:numId w:val="101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未滴定前</w:t>
      </w:r>
      <w:r>
        <w:rPr>
          <w:rFonts w:hint="eastAsia" w:ascii="Times New Roman" w:hAnsi="Times New Roman" w:eastAsia="Times New Roman" w:cs="Times New Roman"/>
        </w:rPr>
        <w:t>，</w:t>
      </w:r>
      <w:r>
        <w:rPr>
          <w:rFonts w:hint="eastAsia" w:ascii="Times New Roman" w:hAnsi="Times New Roman" w:eastAsia="FangSong" w:cs="Times New Roman"/>
        </w:rPr>
        <w:t>此酸溶液中</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c(HA</w:t>
      </w:r>
      <w:r>
        <w:rPr>
          <w:rFonts w:ascii="Times New Roman" w:hAnsi="Times New Roman" w:eastAsia="Times New Roman" w:cs="Times New Roman"/>
          <w:vertAlign w:val="superscript"/>
        </w:rPr>
        <w:t>-</w:t>
      </w:r>
      <w:r>
        <w:rPr>
          <w:rFonts w:ascii="Times New Roman" w:hAnsi="Times New Roman" w:eastAsia="Times New Roman" w:cs="Times New Roman"/>
        </w:rPr>
        <w:t>) + c(A</w:t>
      </w:r>
      <w:r>
        <w:rPr>
          <w:rFonts w:ascii="Times New Roman" w:hAnsi="Times New Roman" w:eastAsia="Times New Roman" w:cs="Times New Roman"/>
          <w:vertAlign w:val="superscript"/>
        </w:rPr>
        <w:t>2-</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滴定过程中当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溶液中主要存在的组分为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O、Na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p>
    <w:p>
      <w:pPr>
        <w:pStyle w:val="Compact"/>
        <w:numPr>
          <w:ilvl w:val="0"/>
          <w:numId w:val="101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35.00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此时的溶液为一缓冲溶液</w:t>
      </w:r>
    </w:p>
    <w:p>
      <w:pPr>
        <w:spacing w:before="160" w:after="80"/>
      </w:pPr>
      <w:r>
        <w:pict>
          <v:rect style="width:0;height:1.5pt" o:hralign="center" o:hrstd="t" o:hr="t"/>
        </w:pict>
      </w:r>
    </w:p>
    <w:bookmarkEnd w:id="45"/>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锌比铜化学活泼性强</w:t>
      </w:r>
      <w:r>
        <w:rPr>
          <w:rFonts w:hint="eastAsia" w:ascii="Times New Roman" w:hAnsi="Times New Roman" w:eastAsia="Times New Roman" w:cs="Times New Roman"/>
        </w:rPr>
        <w:t>，</w:t>
      </w:r>
      <w:r>
        <w:rPr>
          <w:rFonts w:hint="eastAsia" w:ascii="Times New Roman" w:hAnsi="Times New Roman" w:eastAsia="FangSong" w:cs="Times New Roman"/>
        </w:rPr>
        <w:t>从能量变化角度分析是因为</w:t>
      </w:r>
    </w:p>
    <w:p>
      <w:pPr>
        <w:pStyle w:val="Compact"/>
        <w:numPr>
          <w:ilvl w:val="0"/>
          <w:numId w:val="101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锌的电离势比铜的电离势小</w:t>
      </w:r>
    </w:p>
    <w:p>
      <w:pPr>
        <w:pStyle w:val="Compact"/>
        <w:numPr>
          <w:ilvl w:val="0"/>
          <w:numId w:val="101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锌的升华热比铜的升华热较大</w:t>
      </w:r>
    </w:p>
    <w:p>
      <w:pPr>
        <w:pStyle w:val="Compact"/>
        <w:numPr>
          <w:ilvl w:val="0"/>
          <w:numId w:val="101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锌的升华热比铜的升华热小</w:t>
      </w:r>
    </w:p>
    <w:p>
      <w:pPr>
        <w:pStyle w:val="Compact"/>
        <w:numPr>
          <w:ilvl w:val="0"/>
          <w:numId w:val="101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锌的水合热比铜的水合热大</w:t>
      </w:r>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spacing w:before="160" w:after="80"/>
      </w:pPr>
      <w:r>
        <w:pict>
          <v:rect style="width:0;height:1.5pt" o:hralign="center" o:hrstd="t" o:hr="t"/>
        </w:pict>
      </w:r>
    </w:p>
    <w:bookmarkEnd w:id="47"/>
    <w:bookmarkStart w:id="4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计算表观活化能</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p>
      <w:pPr>
        <w:spacing w:before="160" w:after="80"/>
      </w:pPr>
      <w:r>
        <w:pict>
          <v:rect style="width:0;height:1.5pt" o:hralign="center" o:hrstd="t" o:hr="t"/>
        </w:pict>
      </w:r>
    </w:p>
    <w:bookmarkEnd w:id="49"/>
    <w:bookmarkStart w:id="5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100 °C、</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制备光气的反应按下式进行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l</m:t>
            </m:r>
          </m:e>
          <m:sub>
            <m:r>
              <m:t>2</m:t>
            </m:r>
          </m:sub>
        </m:sSub>
        <m:r>
          <m:rPr>
            <m:sty m:val="p"/>
          </m:rPr>
          <m:t>=</m:t>
        </m:r>
        <m:r>
          <m:t>C</m:t>
        </m:r>
        <m:r>
          <m:t>O</m:t>
        </m:r>
        <m:r>
          <m:t>C</m:t>
        </m:r>
        <m:sSub>
          <m:e>
            <m:r>
              <m:t>l</m:t>
            </m:r>
          </m:e>
          <m:sub>
            <m:r>
              <m:t>2</m:t>
            </m:r>
          </m:sub>
        </m:sSub>
      </m:oMath>
    </w:p>
    <w:p>
      <w:pPr>
        <w:pStyle w:val="BodyText"/>
        <w:ind w:firstLine="420"/>
      </w:pP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实验顺序</w:t>
      </w:r>
    </w:p>
    <w:p>
      <w:pPr>
        <w:pStyle w:val="BodyText"/>
        <w:ind w:firstLine="420"/>
      </w:pPr>
      <w:r>
        <w:rPr>
          <w:rFonts w:hint="eastAsia" w:ascii="Times New Roman" w:hAnsi="Times New Roman" w:eastAsia="FangSong" w:cs="Times New Roman"/>
        </w:rPr>
        <w:t>初浓度</w:t>
      </w:r>
      <w:r>
        <w:rPr>
          <w:rFonts w:hint="eastAsia" w:ascii="Times New Roman" w:hAnsi="Times New Roman" w:eastAsia="Times New Roman" w:cs="Times New Roman"/>
        </w:rPr>
        <w:t>/mol·L-1</w:t>
      </w:r>
    </w:p>
    <w:p>
      <w:pPr>
        <w:pStyle w:val="BodyText"/>
        <w:ind w:firstLine="420"/>
      </w:pPr>
      <w:r>
        <w:rPr>
          <w:rFonts w:hint="eastAsia" w:ascii="Times New Roman" w:hAnsi="Times New Roman" w:eastAsia="FangSong" w:cs="Times New Roman"/>
        </w:rPr>
        <w:t>初速率</w:t>
      </w:r>
      <w:r>
        <w:rPr>
          <w:rFonts w:hint="eastAsia" w:ascii="Times New Roman" w:hAnsi="Times New Roman" w:eastAsia="Times New Roman" w:cs="Times New Roman"/>
        </w:rPr>
        <w:t>/mol·L-1·s-1</w:t>
      </w:r>
    </w:p>
    <w:p>
      <w:pPr>
        <w:pStyle w:val="BodyText"/>
      </w:pPr>
      <w:r>
        <w:rPr>
          <w:rFonts w:ascii="Times New Roman" w:hAnsi="Times New Roman" w:eastAsia="Times New Roman" w:cs="Times New Roman"/>
        </w:rPr>
        <w:t xml:space="preserve">CO</w:t>
      </w:r>
    </w:p>
    <w:p>
      <w:pPr>
        <w:pStyle w:val="BodyText"/>
      </w:pPr>
      <w:r>
        <w:rPr>
          <w:rFonts w:ascii="Times New Roman" w:hAnsi="Times New Roman" w:eastAsia="Times New Roman" w:cs="Times New Roman"/>
        </w:rPr>
        <w:t xml:space="preserve">Cl2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1.2×10-2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4.26×10-3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6.0×10-3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2.13×10-3</w:t>
      </w:r>
    </w:p>
    <w:p>
      <w:pPr>
        <w:pStyle w:val="BodyText"/>
        <w:ind w:firstLine="420"/>
      </w:pP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r>
        <w:rPr>
          <w:rFonts w:hint="eastAsia" w:ascii="Times New Roman" w:hAnsi="Times New Roman" w:eastAsia="FangSong" w:cs="Times New Roman"/>
        </w:rPr>
        <w:t>反应级数和速率方程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3902"/>
            <wp:effectExtent b="0" l="0" r="0" t="0"/>
            <wp:docPr descr="" title="" id="53" name="Picture"/>
            <a:graphic>
              <a:graphicData uri="http://schemas.openxmlformats.org/drawingml/2006/picture">
                <pic:pic>
                  <pic:nvPicPr>
                    <pic:cNvPr descr="05268ff79e0241e6a5b3c8c439fb52a508bf44870f54fa71b82158ff3cf04450.jpg" id="54" name="Picture"/>
                    <pic:cNvPicPr>
                      <a:picLocks noChangeArrowheads="1" noChangeAspect="1"/>
                    </pic:cNvPicPr>
                  </pic:nvPicPr>
                  <pic:blipFill>
                    <a:blip r:embed="rId52"/>
                    <a:stretch>
                      <a:fillRect/>
                    </a:stretch>
                  </pic:blipFill>
                  <pic:spPr bwMode="auto">
                    <a:xfrm>
                      <a:off x="0" y="0"/>
                      <a:ext cx="3600000" cy="21439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End w:id="56"/>
    <w:bookmarkEnd w:id="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第一轮综合卷12（学生版）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jpg"/><Relationship Id="rId35" Type="http://schemas.openxmlformats.org/officeDocument/2006/relationships/image" Target="media/rId35.png"/><Relationship Id="rId20" Type="http://schemas.openxmlformats.org/officeDocument/2006/relationships/image" Target="media/rId20.jpg"/><Relationship Id="rId17" Type="http://schemas.openxmlformats.org/officeDocument/2006/relationships/image" Target="media/rId17.jpg"/><Relationship Id="rId28" Type="http://schemas.openxmlformats.org/officeDocument/2006/relationships/image" Target="media/rId28.png"/><Relationship Id="rId41" Type="http://schemas.openxmlformats.org/officeDocument/2006/relationships/image" Target="media/rId41.png"/><Relationship Id="rId38" Type="http://schemas.openxmlformats.org/officeDocument/2006/relationships/image" Target="media/rId38.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2026-10-11T13:27:06Z</dcterms:created>
  <dcterms:modified xsi:type="dcterms:W3CDTF">2026-10-11T13:27:06Z</dcterms:modified>
</cp:coreProperties>
</file>

<file path=docProps/custom.xml><?xml version="1.0" encoding="utf-8"?>
<Properties xmlns="http://schemas.openxmlformats.org/officeDocument/2006/custom-properties" xmlns:vt="http://schemas.openxmlformats.org/officeDocument/2006/docPropsVTypes"/>
</file>