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9"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9"/>
    <w:bookmarkStart w:id="10"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numPr>
          <w:ilvl w:val="0"/>
          <w:numId w:val="1001"/>
        </w:numPr>
        <w:ind w:firstLine="420"/>
      </w:pP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numPr>
          <w:ilvl w:val="0"/>
          <w:numId w:val="1001"/>
        </w:numPr>
        <w:ind w:firstLine="420"/>
      </w:pP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numPr>
          <w:ilvl w:val="0"/>
          <w:numId w:val="1000"/>
        </w:numPr>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numPr>
          <w:ilvl w:val="0"/>
          <w:numId w:val="1000"/>
        </w:numPr>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02"/>
        </w:numPr>
        <w:ind w:firstLine="420"/>
      </w:pP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numPr>
          <w:ilvl w:val="0"/>
          <w:numId w:val="1000"/>
        </w:numPr>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numPr>
          <w:ilvl w:val="0"/>
          <w:numId w:val="1004"/>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numPr>
          <w:ilvl w:val="0"/>
          <w:numId w:val="1004"/>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
    <w:bookmarkEnd w:id="11"/>
    <w:bookmarkStart w:id="14"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2"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numPr>
          <w:ilvl w:val="0"/>
          <w:numId w:val="1005"/>
        </w:numPr>
        <w:ind w:firstLine="420"/>
      </w:pP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2"/>
    <w:bookmarkStart w:id="13"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numPr>
          <w:ilvl w:val="0"/>
          <w:numId w:val="1006"/>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在水中的溶解度发生显著下降</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End w:id="14"/>
    <w:bookmarkStart w:id="17"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5"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numPr>
          <w:ilvl w:val="0"/>
          <w:numId w:val="1000"/>
        </w:numPr>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numPr>
          <w:ilvl w:val="0"/>
          <w:numId w:val="1007"/>
        </w:numPr>
        <w:ind w:firstLine="420"/>
      </w:pP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numPr>
          <w:ilvl w:val="0"/>
          <w:numId w:val="1000"/>
        </w:numPr>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5"/>
    <w:bookmarkStart w:id="16"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Compact"/>
        <w:numPr>
          <w:ilvl w:val="0"/>
          <w:numId w:val="1009"/>
        </w:numPr>
        <w:ind w:firstLine="420"/>
      </w:pP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Compact"/>
        <w:numPr>
          <w:ilvl w:val="0"/>
          <w:numId w:val="1000"/>
        </w:numPr>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6"/>
    <w:bookmarkEnd w:id="17"/>
    <w:bookmarkStart w:id="22"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8"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8"/>
    <w:bookmarkStart w:id="19"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19"/>
    <w:bookmarkStart w:id="20"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0"/>
    <w:bookmarkStart w:id="21"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rPr>
                  <m:sty m:val="p"/>
                </m:rPr>
                <m:t>∘</m:t>
              </m:r>
            </m:sup>
          </m:sSup>
          <m:r>
            <m:rPr>
              <m:sty m:val="p"/>
            </m:rPr>
            <m:t>C</m:t>
          </m:r>
          <m:r>
            <m:rPr>
              <m:sty m:val="p"/>
            </m:rPr>
            <m:t>−</m:t>
          </m:r>
          <m:r>
            <m:t>4.78</m:t>
          </m:r>
          <m:sSup>
            <m:e>
              <m:r>
                <m:t> </m:t>
              </m:r>
            </m:e>
            <m:sup>
              <m:r>
                <m:rPr>
                  <m:sty m:val="p"/>
                </m:rPr>
                <m:t>∘</m:t>
              </m:r>
            </m:sup>
          </m:sSup>
          <m:r>
            <m:rPr>
              <m:sty m:val="p"/>
            </m:rPr>
            <m:t>C</m:t>
          </m:r>
          <m:r>
            <m:rPr>
              <m:sty m:val="p"/>
            </m:rPr>
            <m:t>=</m:t>
          </m:r>
          <m:r>
            <m:t>0.72</m:t>
          </m:r>
          <m:r>
            <m:t> </m:t>
          </m:r>
          <m:r>
            <m:rPr>
              <m:sty m:val="p"/>
            </m:rPr>
            <m:t>K</m:t>
          </m:r>
        </m:oMath>
      </m:oMathPara>
    </w:p>
    <w:p>
      <w:pPr>
        <w:numPr>
          <w:ilvl w:val="0"/>
          <w:numId w:val="1010"/>
        </w:numPr>
        <w:ind w:firstLine="420"/>
      </w:pP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0"/>
        </w:numPr>
        <w:ind w:firstLine="420"/>
      </w:pP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11"/>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numPr>
          <w:ilvl w:val="0"/>
          <w:numId w:val="1012"/>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numPr>
          <w:ilvl w:val="0"/>
          <w:numId w:val="1012"/>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rPr>
                  <m:sty m:val="p"/>
                </m:rPr>
                <m:t>∘</m:t>
              </m:r>
            </m:sup>
          </m:sSup>
          <m:r>
            <m:rPr>
              <m:sty m:val="p"/>
            </m:rPr>
            <m:t>C</m:t>
          </m:r>
          <m:r>
            <m:rPr>
              <m:sty m:val="p"/>
            </m:rPr>
            <m:t>−</m:t>
          </m:r>
          <m:r>
            <m:rPr>
              <m:sty m:val="p"/>
            </m:rPr>
            <m:t>(</m:t>
          </m:r>
          <m:r>
            <m:rPr>
              <m:sty m:val="p"/>
            </m:rPr>
            <m:t>−</m:t>
          </m:r>
          <m:r>
            <m:t>0.348</m:t>
          </m:r>
          <m:sSup>
            <m:e>
              <m:r>
                <m:t> </m:t>
              </m:r>
            </m:e>
            <m:sup>
              <m:r>
                <m:rPr>
                  <m:sty m:val="p"/>
                </m:rPr>
                <m:t>∘</m:t>
              </m:r>
            </m:sup>
          </m:sSup>
          <m:r>
            <m:rPr>
              <m:sty m:val="p"/>
            </m:rPr>
            <m:t>C</m:t>
          </m:r>
          <m:r>
            <m:rPr>
              <m:sty m:val="p"/>
            </m:rPr>
            <m:t>)</m:t>
          </m:r>
          <m:r>
            <m:rPr>
              <m:sty m:val="p"/>
            </m:rPr>
            <m:t>=</m:t>
          </m:r>
          <m:r>
            <m:t>0.348</m:t>
          </m:r>
          <m:r>
            <m:t> </m:t>
          </m:r>
          <m:r>
            <m:rPr>
              <m:sty m:val="p"/>
            </m:rPr>
            <m:t>K</m:t>
          </m:r>
        </m:oMath>
      </m:oMathPara>
    </w:p>
    <w:p>
      <w:pPr>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numPr>
          <w:ilvl w:val="0"/>
          <w:numId w:val="1012"/>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5"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3"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3"/>
    <w:bookmarkStart w:id="24"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numPr>
          <w:ilvl w:val="0"/>
          <w:numId w:val="1014"/>
        </w:numPr>
        <w:ind w:firstLine="420"/>
      </w:pP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numPr>
          <w:ilvl w:val="0"/>
          <w:numId w:val="1000"/>
        </w:numPr>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numPr>
          <w:ilvl w:val="0"/>
          <w:numId w:val="1014"/>
        </w:numPr>
        <w:ind w:firstLine="420"/>
      </w:pP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Compact"/>
        <w:numPr>
          <w:ilvl w:val="0"/>
          <w:numId w:val="1015"/>
        </w:numPr>
        <w:ind w:firstLine="420"/>
      </w:pP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Compact"/>
        <w:numPr>
          <w:ilvl w:val="0"/>
          <w:numId w:val="1000"/>
        </w:numPr>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FirstParagraph"/>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18"/>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numPr>
          <w:ilvl w:val="0"/>
          <w:numId w:val="1018"/>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numPr>
          <w:ilvl w:val="0"/>
          <w:numId w:val="1020"/>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4"/>
    <w:bookmarkEnd w:id="25"/>
    <w:bookmarkStart w:id="34"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2"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Compact"/>
        <w:numPr>
          <w:ilvl w:val="0"/>
          <w:numId w:val="1021"/>
        </w:numPr>
        <w:ind w:firstLine="420"/>
      </w:pP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Compact"/>
        <w:numPr>
          <w:ilvl w:val="0"/>
          <w:numId w:val="1000"/>
        </w:numPr>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 xml:space="preserve">水相图与二氧化碳相图对比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2381250" cy="2093552"/>
                  <wp:effectExtent b="0" l="0" r="0" t="0"/>
                  <wp:docPr descr="" title="" id="27" name="Picture"/>
                  <a:graphic>
                    <a:graphicData uri="http://schemas.openxmlformats.org/drawingml/2006/picture">
                      <pic:pic>
                        <pic:nvPicPr>
                          <pic:cNvPr descr="b4a7c1c1328e46987c48ed4ddbf84b19c27149bc3c44b2e2cf69005a1b425bf5.jpg" id="28" name="Picture"/>
                          <pic:cNvPicPr>
                            <a:picLocks noChangeArrowheads="1" noChangeAspect="1"/>
                          </pic:cNvPicPr>
                        </pic:nvPicPr>
                        <pic:blipFill>
                          <a:blip r:embed="rId26"/>
                          <a:stretch>
                            <a:fillRect/>
                          </a:stretch>
                        </pic:blipFill>
                        <pic:spPr bwMode="auto">
                          <a:xfrm>
                            <a:off x="0" y="0"/>
                            <a:ext cx="2381250" cy="20935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44465"/>
                  <wp:effectExtent b="0" l="0" r="0" t="0"/>
                  <wp:docPr descr="" title="" id="30" name="Picture"/>
                  <a:graphic>
                    <a:graphicData uri="http://schemas.openxmlformats.org/drawingml/2006/picture">
                      <pic:pic>
                        <pic:nvPicPr>
                          <pic:cNvPr descr="9c2b27a2d84bca20ad76aa62d281c7b35d8264d4063a3714742d17044e0dc20f.jpg" id="31" name="Picture"/>
                          <pic:cNvPicPr>
                            <a:picLocks noChangeArrowheads="1" noChangeAspect="1"/>
                          </pic:cNvPicPr>
                        </pic:nvPicPr>
                        <pic:blipFill>
                          <a:blip r:embed="rId29"/>
                          <a:stretch>
                            <a:fillRect/>
                          </a:stretch>
                        </pic:blipFill>
                        <pic:spPr bwMode="auto">
                          <a:xfrm>
                            <a:off x="0" y="0"/>
                            <a:ext cx="2381250" cy="214446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3-1：</w:t>
      </w:r>
      <w:r>
        <w:rPr>
          <w:rFonts w:hint="eastAsia" w:ascii="Times New Roman" w:hAnsi="Times New Roman" w:eastAsia="FangSong" w:cs="Times New Roman"/>
          <w:b w:val="0"/>
          <w:i w:val="0"/>
          <w:sz w:val="21"/>
        </w:rPr>
        <w:t>单组分</w:t>
      </w:r>
      <w:r>
        <w:rPr>
          <w:rFonts w:ascii="Times New Roman" w:hAnsi="Times New Roman" w:eastAsia="FangSong" w:cs="Times New Roman"/>
          <w:b w:val="0"/>
          <w:i w:val="0"/>
          <w:sz w:val="21"/>
        </w:rPr>
        <w:t xml:space="preserve"> </w:t>
      </w:r>
      <m:oMath>
        <m:r>
          <m:t>p</m:t>
        </m:r>
      </m:oMath>
      <w:r>
        <w:rPr>
          <w:rFonts w:ascii="Times New Roman" w:hAnsi="Times New Roman" w:eastAsia="FangSong" w:cs="Times New Roman"/>
          <w:b w:val="0"/>
          <w:i w:val="0"/>
          <w:sz w:val="21"/>
        </w:rPr>
        <w:t xml:space="preserve">-</w:t>
      </w:r>
      <m:oMath>
        <m:r>
          <m:t>T</m:t>
        </m:r>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相图的拓扑结构</w:t>
      </w:r>
    </w:p>
    <w:p>
      <w:pPr>
        <w:pStyle w:val="FirstParagraph"/>
        <w:spacing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rPr>
                      <m:sty m:val="p"/>
                    </m:rPr>
                    <m:t>∘</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rPr>
                      <m:sty m:val="p"/>
                    </m:rPr>
                    <m:t>∘</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rPr>
                      <m:sty m:val="p"/>
                    </m:rPr>
                    <m:t>∘</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rPr>
                      <m:sty m:val="p"/>
                    </m:rPr>
                    <m:t>∘</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rPr>
                      <m:sty m:val="p"/>
                    </m:rPr>
                    <m:t>∘</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2"/>
    <w:bookmarkStart w:id="33"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numPr>
          <w:ilvl w:val="0"/>
          <w:numId w:val="1023"/>
        </w:numPr>
        <w:ind w:firstLine="420"/>
      </w:pP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numPr>
          <w:ilvl w:val="0"/>
          <w:numId w:val="1000"/>
        </w:numPr>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24"/>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7"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5"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5"/>
    <w:bookmarkStart w:id="36"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6"/>
    <w:bookmarkEnd w:id="37"/>
    <w:bookmarkStart w:id="39" w:name="核心公式速查"/>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w:t>
      </w:r>
    </w:p>
    <w:bookmarkStart w:id="38"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8"/>
    <w:bookmarkEnd w:id="39"/>
    <w:bookmarkStart w:id="41"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25"/>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bookmarkStart w:id="4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28"/>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t</m:t>
          </m:r>
          <m:r>
            <m:rPr>
              <m:sty m:val="p"/>
            </m:rPr>
            <m:t>=</m:t>
          </m:r>
          <m:r>
            <m:t>51</m:t>
          </m:r>
          <m:r>
            <m:rPr>
              <m:sty m:val="p"/>
            </m:rPr>
            <m:t>℃</m:t>
          </m:r>
          <m:r>
            <m:rPr>
              <m:nor/>
              <m:sty m:val="p"/>
            </m:rPr>
            <m:t>时,lg(p / kPa) = 1.10,p = 13kPa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ind w:firstLine="420"/>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90</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29"/>
        </w:numPr>
        <w:ind w:firstLine="420"/>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p</m:t>
              </m:r>
            </m:num>
            <m:den>
              <m:r>
                <m:t>T</m:t>
              </m:r>
            </m:den>
          </m:f>
          <m:r>
            <m:rPr>
              <m:sty m:val="p"/>
            </m:rPr>
            <m:t>=</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oMath>
      </m:oMathPara>
    </w:p>
    <w:p>
      <w:pPr>
        <w:pStyle w:val="FirstParagraph"/>
        <w:spacing w:after="80"/>
        <w:ind w:firstLine="42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92</w:t>
            </w:r>
          </w:p>
        </w:tc>
        <w:tc>
          <w:tcPr>
            <w:tcBorders>
              <w:bottom w:val="single" w:sz="6" w:space="0" w:color="333333"/>
            </w:tcBorders>
          </w:tcPr>
          <w:p>
            <w:pPr>
              <w:pStyle w:val="Compact"/>
              <w:jc w:val="center"/>
            </w:pPr>
            <w:r>
              <w:rPr>
                <w:rFonts w:ascii="Times New Roman" w:hAnsi="Times New Roman" w:eastAsia="Times New Roman" w:cs="Times New Roman"/>
                <w:b/>
              </w:rPr>
              <w:t xml:space="preserve">94</w:t>
            </w:r>
          </w:p>
        </w:tc>
        <w:tc>
          <w:tcPr>
            <w:tcBorders>
              <w:bottom w:val="single" w:sz="6" w:space="0" w:color="333333"/>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ind w:firstLine="4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rPr>
                    <m:sty m:val="p"/>
                  </m:rPr>
                  <m:t>∘</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存在状态</w:t>
      </w:r>
      <w:r>
        <w:rPr>
          <w:rFonts w:hint="eastAsia" w:ascii="Times New Roman" w:hAnsi="Times New Roman" w:eastAsia="Times New Roman" w:cs="Times New Roman"/>
        </w:rPr>
        <w:t>：（1）</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hint="eastAsia" w:ascii="Times New Roman" w:hAnsi="Times New Roman" w:eastAsia="FangSong" w:cs="Times New Roman"/>
        </w:rPr>
        <w:t>液</w:t>
      </w:r>
      <w:r>
        <w:rPr>
          <w:rFonts w:hint="eastAsia" w:ascii="Times New Roman" w:hAnsi="Times New Roman" w:eastAsia="Times New Roman" w:cs="Times New Roman"/>
        </w:rPr>
        <w:t>；（3）</w:t>
      </w:r>
      <w:r>
        <w:rPr>
          <w:rFonts w:hint="eastAsia" w:ascii="Times New Roman" w:hAnsi="Times New Roman" w:eastAsia="FangSong" w:cs="Times New Roman"/>
        </w:rPr>
        <w:t>气</w:t>
      </w:r>
      <w:r>
        <w:rPr>
          <w:rFonts w:hint="eastAsia" w:ascii="Times New Roman" w:hAnsi="Times New Roman" w:eastAsia="Times New Roman" w:cs="Times New Roman"/>
        </w:rPr>
        <w:t>；（4）</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因为三相点是纯</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依据题给数据可确定苯相图的三条特征线与三个特征点</w:t>
      </w:r>
      <w:r>
        <w:rPr>
          <w:rFonts w:hint="eastAsia" w:ascii="Times New Roman" w:hAnsi="Times New Roman" w:eastAsia="Times New Roman" w:cs="Times New Roman"/>
        </w:rPr>
        <w:t>。</w:t>
      </w:r>
      <w:r>
        <w:rPr>
          <w:rFonts w:hint="eastAsia" w:ascii="Times New Roman" w:hAnsi="Times New Roman" w:eastAsia="FangSong" w:cs="Times New Roman"/>
        </w:rPr>
        <w:t>三个特征点为</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r>
          <m:t>5</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2.84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hint="eastAsia" w:ascii="Times New Roman" w:hAnsi="Times New Roman" w:eastAsia="Times New Roman" w:cs="Times New Roman"/>
        </w:rPr>
        <w:t>（</w:t>
      </w:r>
      <m:oMath>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下液</w:t>
      </w:r>
      <w:r>
        <w:rPr>
          <w:rFonts w:hint="eastAsia" w:ascii="Times New Roman" w:hAnsi="Times New Roman" w:eastAsia="Times New Roman" w:cs="Times New Roman"/>
        </w:rPr>
        <w:t>-</w:t>
      </w:r>
      <w:r>
        <w:rPr>
          <w:rFonts w:hint="eastAsia" w:ascii="Times New Roman" w:hAnsi="Times New Roman" w:eastAsia="FangSong" w:cs="Times New Roman"/>
        </w:rPr>
        <w:t>气平衡线上的点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r>
          <m:t>289</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4.86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气界线的终止点</w:t>
      </w:r>
      <w:r>
        <w:rPr>
          <w:rFonts w:hint="eastAsia" w:ascii="Times New Roman" w:hAnsi="Times New Roman" w:eastAsia="Times New Roman" w:cs="Times New Roman"/>
        </w:rPr>
        <w:t>，</w:t>
      </w:r>
      <w:r>
        <w:rPr>
          <w:rFonts w:hint="eastAsia" w:ascii="Times New Roman" w:hAnsi="Times New Roman" w:eastAsia="FangSong" w:cs="Times New Roman"/>
        </w:rPr>
        <w:t>高于此温度液态苯不复存在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横坐标为温度</w:t>
      </w:r>
      <w:r>
        <w:rPr>
          <w:rFonts w:hint="eastAsia" w:ascii="Times New Roman" w:hAnsi="Times New Roman" w:eastAsia="Times New Roman" w:cs="Times New Roman"/>
        </w:rPr>
        <w:t>（</w:t>
      </w:r>
      <m:oMath>
        <m:oMathPr>
          <m:ctrlPr>
            <w:rPr>
              <w:sz w:val="28"/>
              <w:szCs w:val="28"/>
            </w:rPr>
          </m:ctrlPr>
        </m:oMathPr>
        <m:r>
          <m:t>0</m:t>
        </m:r>
        <m:r>
          <m:rPr>
            <m:sty m:val="p"/>
          </m:rPr>
          <m:t>∼</m:t>
        </m:r>
        <m:r>
          <m:t>300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纵坐标为压力</w:t>
      </w:r>
      <w:r>
        <w:rPr>
          <w:rFonts w:hint="eastAsia" w:ascii="Times New Roman" w:hAnsi="Times New Roman" w:eastAsia="Times New Roman" w:cs="Times New Roman"/>
        </w:rPr>
        <w:t>。</w:t>
      </w:r>
      <w:r>
        <w:rPr>
          <w:rFonts w:hint="eastAsia" w:ascii="Times New Roman" w:hAnsi="Times New Roman" w:eastAsia="FangSong" w:cs="Times New Roman"/>
        </w:rPr>
        <w:t>升华线自三相点向左下方延伸</w:t>
      </w:r>
      <w:r>
        <w:rPr>
          <w:rFonts w:hint="eastAsia" w:ascii="Times New Roman" w:hAnsi="Times New Roman" w:eastAsia="Times New Roman" w:cs="Times New Roman"/>
        </w:rPr>
        <w:t>；</w:t>
      </w:r>
      <w:r>
        <w:rPr>
          <w:rFonts w:hint="eastAsia" w:ascii="Times New Roman" w:hAnsi="Times New Roman" w:eastAsia="FangSong" w:cs="Times New Roman"/>
        </w:rPr>
        <w:t>汽化线自三相点向右上方延伸</w:t>
      </w:r>
      <w:r>
        <w:rPr>
          <w:rFonts w:hint="eastAsia" w:ascii="Times New Roman" w:hAnsi="Times New Roman" w:eastAsia="Times New Roman" w:cs="Times New Roman"/>
        </w:rPr>
        <w:t>，</w:t>
      </w:r>
      <w:r>
        <w:rPr>
          <w:rFonts w:hint="eastAsia" w:ascii="Times New Roman" w:hAnsi="Times New Roman" w:eastAsia="FangSong" w:cs="Times New Roman"/>
        </w:rPr>
        <w:t>经正常沸点终止于临界点</w:t>
      </w:r>
      <w:r>
        <w:rPr>
          <w:rFonts w:hint="eastAsia" w:ascii="Times New Roman" w:hAnsi="Times New Roman" w:eastAsia="Times New Roman" w:cs="Times New Roman"/>
        </w:rPr>
        <w:t>；</w:t>
      </w:r>
      <w:r>
        <w:rPr>
          <w:rFonts w:hint="eastAsia" w:ascii="Times New Roman" w:hAnsi="Times New Roman" w:eastAsia="FangSong" w:cs="Times New Roman"/>
        </w:rPr>
        <w:t>熔化线自三相点向上方延伸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熔化线斜率的判定是本题的关键</w:t>
      </w:r>
      <w:r>
        <w:rPr>
          <w:rFonts w:hint="eastAsia" w:ascii="Times New Roman" w:hAnsi="Times New Roman" w:eastAsia="Times New Roman" w:cs="Times New Roman"/>
        </w:rPr>
        <w:t>：</w:t>
      </w:r>
      <w:r>
        <w:rPr>
          <w:rFonts w:hint="eastAsia" w:ascii="Times New Roman" w:hAnsi="Times New Roman" w:eastAsia="FangSong" w:cs="Times New Roman"/>
        </w:rPr>
        <w:t>苯的固态密度</w:t>
      </w:r>
      <w:r>
        <w:rPr>
          <w:rFonts w:hint="eastAsia" w:ascii="Times New Roman" w:hAnsi="Times New Roman" w:eastAsia="Times New Roman" w:cs="Times New Roman"/>
        </w:rPr>
        <w:t>（</w:t>
      </w:r>
      <m:oMath>
        <m:oMathPr>
          <m:ctrlPr>
            <w:rPr>
              <w:sz w:val="28"/>
              <w:szCs w:val="28"/>
            </w:rPr>
          </m:ctrlPr>
        </m:oMathPr>
        <m:r>
          <m:t>1.005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大于液态密度</w:t>
      </w:r>
      <w:r>
        <w:rPr>
          <w:rFonts w:hint="eastAsia" w:ascii="Times New Roman" w:hAnsi="Times New Roman" w:eastAsia="Times New Roman" w:cs="Times New Roman"/>
        </w:rPr>
        <w:t>（</w:t>
      </w:r>
      <m:oMath>
        <m:oMathPr>
          <m:ctrlPr>
            <w:rPr>
              <w:sz w:val="28"/>
              <w:szCs w:val="28"/>
            </w:rPr>
          </m:ctrlPr>
        </m:oMathPr>
        <m:r>
          <m:t>0.894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故熔化时体积增大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由克拉佩龙方程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r>
              <m:t> </m:t>
            </m:r>
            <m:sSub>
              <m:e>
                <m:r>
                  <m:rPr>
                    <m:sty m:val="p"/>
                  </m:rPr>
                  <m:t>Δ</m:t>
                </m:r>
              </m:e>
              <m:sub>
                <m:r>
                  <m:rPr>
                    <m:sty m:val="p"/>
                  </m:rPr>
                  <m:t>f</m:t>
                </m:r>
                <m:r>
                  <m:rPr>
                    <m:sty m:val="p"/>
                  </m:rPr>
                  <m:t>u</m:t>
                </m:r>
                <m:r>
                  <m:rPr>
                    <m:sty m:val="p"/>
                  </m:rPr>
                  <m:t>s</m:t>
                </m:r>
              </m:sub>
            </m:sSub>
            <m:sSub>
              <m:e>
                <m:r>
                  <m:t>V</m:t>
                </m:r>
              </m:e>
              <m:sub>
                <m:r>
                  <m:rPr>
                    <m:sty m:val="p"/>
                  </m:rP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因熔化吸热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而体积膨胀</w:t>
      </w:r>
      <w:r>
        <w:rPr>
          <w:rFonts w:hint="eastAsia" w:ascii="Times New Roman" w:hAnsi="Times New Roman" w:eastAsia="Times New Roman" w:cs="Times New Roman"/>
        </w:rPr>
        <w:t>，</w:t>
      </w:r>
      <w:r>
        <w:rPr>
          <w:rFonts w:hint="eastAsia" w:ascii="Times New Roman" w:hAnsi="Times New Roman" w:eastAsia="FangSong" w:cs="Times New Roman"/>
        </w:rPr>
        <w:t>故斜率恒为正值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熔化线向右上方倾斜</w:t>
      </w:r>
      <w:r>
        <w:rPr>
          <w:rFonts w:hint="eastAsia" w:ascii="Times New Roman" w:hAnsi="Times New Roman" w:eastAsia="Times New Roman" w:cs="Times New Roman"/>
        </w:rPr>
        <w:t>——</w:t>
      </w:r>
      <w:r>
        <w:rPr>
          <w:rFonts w:hint="eastAsia" w:ascii="Times New Roman" w:hAnsi="Times New Roman" w:eastAsia="FangSong" w:cs="Times New Roman"/>
        </w:rPr>
        <w:t>这与水</w:t>
      </w:r>
      <w:r>
        <w:rPr>
          <w:rFonts w:hint="eastAsia" w:ascii="Times New Roman" w:hAnsi="Times New Roman" w:eastAsia="Times New Roman" w:cs="Times New Roman"/>
        </w:rPr>
        <w:t>（</w:t>
      </w:r>
      <w:r>
        <w:rPr>
          <w:rFonts w:hint="eastAsia" w:ascii="Times New Roman" w:hAnsi="Times New Roman" w:eastAsia="FangSong" w:cs="Times New Roman"/>
        </w:rPr>
        <w:t>熔化线向左倾斜的负斜率</w:t>
      </w:r>
      <w:r>
        <w:rPr>
          <w:rFonts w:hint="eastAsia" w:ascii="Times New Roman" w:hAnsi="Times New Roman" w:eastAsia="Times New Roman" w:cs="Times New Roman"/>
        </w:rPr>
        <w:t>）</w:t>
      </w:r>
      <w:r>
        <w:rPr>
          <w:rFonts w:hint="eastAsia" w:ascii="Times New Roman" w:hAnsi="Times New Roman" w:eastAsia="FangSong" w:cs="Times New Roman"/>
        </w:rPr>
        <w:t>恰好相反</w:t>
      </w:r>
      <w:r>
        <w:rPr>
          <w:rFonts w:hint="eastAsia" w:ascii="Times New Roman" w:hAnsi="Times New Roman" w:eastAsia="Times New Roman" w:cs="Times New Roman"/>
        </w:rPr>
        <w:t>，</w:t>
      </w:r>
      <w:r>
        <w:rPr>
          <w:rFonts w:hint="eastAsia" w:ascii="Times New Roman" w:hAnsi="Times New Roman" w:eastAsia="FangSong" w:cs="Times New Roman"/>
        </w:rPr>
        <w:t>正是固态苯比液态苯致密的必然推论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Ar; (2)</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oMath>
      </m:oMathPara>
    </w:p>
    <w:p>
      <w:pPr>
        <w:pStyle w:val="FirstParagraph"/>
      </w:pPr>
      <m:oMathPara>
        <m:oMathParaPr>
          <m:jc m:val="center"/>
          <m:ctrlPr>
            <w:rPr>
              <w:sz w:val="28"/>
              <w:szCs w:val="28"/>
            </w:rPr>
          </m:ctrlPr>
        </m:oMathParaPr>
        <m:oMath>
          <m:r>
            <m:t>c</m:t>
          </m:r>
          <m:r>
            <m:rPr>
              <m:sty m:val="p"/>
            </m:rPr>
            <m:t>(</m:t>
          </m:r>
          <m:r>
            <m:rPr>
              <m:sty m:val="p"/>
            </m:rPr>
            <m:t>A</m:t>
          </m:r>
          <m:r>
            <m:rPr>
              <m:sty m:val="p"/>
            </m:rPr>
            <m:t>)</m:t>
          </m:r>
          <m:r>
            <m:rPr>
              <m:sty m:val="p"/>
            </m:rPr>
            <m:t>=</m:t>
          </m:r>
          <m:r>
            <m:t>k</m:t>
          </m:r>
          <m:r>
            <m:t>p</m:t>
          </m:r>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oMath>
      </m:oMathPara>
    </w:p>
    <w:p>
      <w:pPr>
        <w:pStyle w:val="FirstParagraph"/>
      </w:pPr>
      <m:oMathPara>
        <m:oMathParaPr>
          <m:jc m:val="center"/>
          <m:ctrlPr>
            <w:rPr>
              <w:sz w:val="28"/>
              <w:szCs w:val="28"/>
            </w:rPr>
          </m:ctrlPr>
        </m:oMathParaPr>
        <m:oMath>
          <m:r>
            <m:t>V</m:t>
          </m:r>
          <m:r>
            <m:rPr>
              <m:sty m:val="p"/>
            </m:rPr>
            <m:t>(</m:t>
          </m:r>
          <m:r>
            <m:rPr>
              <m:sty m:val="p"/>
            </m:rPr>
            <m:t>A</m:t>
          </m:r>
          <m:r>
            <m:rPr>
              <m:sty m:val="p"/>
            </m:rPr>
            <m:t>)</m:t>
          </m:r>
          <m:r>
            <m:rPr>
              <m:sty m:val="p"/>
            </m:rPr>
            <m:t>=</m:t>
          </m:r>
          <m:r>
            <m:t>R</m:t>
          </m:r>
          <m:r>
            <m:t>T</m:t>
          </m:r>
          <m:r>
            <m:t>k</m:t>
          </m:r>
          <m:sSub>
            <m:e>
              <m:r>
                <m:t>V</m:t>
              </m:r>
            </m:e>
            <m:sub>
              <m:r>
                <m:t>0</m:t>
              </m:r>
            </m:sub>
          </m:sSub>
        </m:oMath>
      </m:oMathPara>
    </w:p>
    <w:p>
      <w:pPr>
        <w:pStyle w:val="FirstParagraph"/>
        <w:ind w:firstLine="420"/>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由凝固点降低公式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t>m</m:t>
        </m:r>
      </m:oMath>
      <w:r>
        <w:rPr>
          <w:rFonts w:hint="eastAsia" w:ascii="Times New Roman" w:hAnsi="Times New Roman" w:eastAsia="Times New Roman" w:cs="Times New Roman"/>
        </w:rPr>
        <w:t>，</w:t>
      </w:r>
      <w:r>
        <w:rPr>
          <w:rFonts w:hint="eastAsia" w:ascii="Times New Roman" w:hAnsi="Times New Roman" w:eastAsia="FangSong" w:cs="Times New Roman"/>
        </w:rPr>
        <w:t>设需加入甲醇</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t> </m:t>
          </m:r>
          <m:r>
            <m:rPr>
              <m:sty m:val="p"/>
            </m:rPr>
            <m:t>K</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m</m:t>
              </m:r>
              <m:r>
                <m:rPr>
                  <m:sty m:val="p"/>
                </m:rPr>
                <m:t>×</m:t>
              </m:r>
              <m:sSup>
                <m:e>
                  <m:r>
                    <m:t>10</m:t>
                  </m:r>
                </m:e>
                <m:sup>
                  <m:r>
                    <m:rPr>
                      <m:sty m:val="p"/>
                    </m:rPr>
                    <m:t>−</m:t>
                  </m:r>
                  <m:r>
                    <m:t>3</m:t>
                  </m:r>
                </m:sup>
              </m:sSup>
              <m:r>
                <m:t> </m:t>
              </m:r>
              <m:r>
                <m:rPr>
                  <m:sty m:val="p"/>
                </m:rPr>
                <m:t>k</m:t>
              </m:r>
              <m:r>
                <m:rPr>
                  <m:sty m:val="p"/>
                </m:rPr>
                <m:t>g</m:t>
              </m:r>
            </m:num>
            <m:den>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m:t>
              </m:r>
            </m:num>
            <m:den>
              <m:r>
                <m:t>10</m:t>
              </m:r>
              <m:r>
                <m:t> </m:t>
              </m:r>
              <m:r>
                <m:rPr>
                  <m:sty m:val="p"/>
                </m:rPr>
                <m:t>k</m:t>
              </m:r>
              <m:r>
                <m:rPr>
                  <m:sty m:val="p"/>
                </m:rPr>
                <m:t>g</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1.72</m:t>
        </m:r>
        <m:r>
          <m:rPr>
            <m:sty m:val="p"/>
          </m:rPr>
          <m:t>×</m:t>
        </m:r>
        <m:sSup>
          <m:e>
            <m:r>
              <m:t>10</m:t>
            </m:r>
          </m:e>
          <m:sup>
            <m:r>
              <m:t>3</m:t>
            </m:r>
          </m:sup>
        </m:sSup>
        <m:r>
          <m:t> </m:t>
        </m:r>
        <m:r>
          <m:rPr>
            <m:sty m:val="p"/>
          </m:rPr>
          <m:t>g</m:t>
        </m:r>
        <m:r>
          <m:rPr>
            <m:sty m:val="p"/>
          </m:rPr>
          <m:t>=</m:t>
        </m:r>
        <m:r>
          <m:t>1.72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水中约需加入</w:t>
      </w:r>
      <w:r>
        <w:rPr>
          <w:rFonts w:ascii="Times New Roman" w:hAnsi="Times New Roman" w:eastAsia="Times New Roman" w:cs="Times New Roman"/>
        </w:rPr>
        <w:t xml:space="preserve"> </w:t>
      </w:r>
      <m:oMath>
        <m:oMathPr>
          <m:ctrlPr>
            <w:rPr>
              <w:sz w:val="28"/>
              <w:szCs w:val="28"/>
            </w:rPr>
          </m:ctrlPr>
        </m:oMathPr>
        <m:r>
          <m:t>1.72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方能使溶液在</w:t>
      </w:r>
      <w:r>
        <w:rPr>
          <w:rFonts w:ascii="Times New Roman" w:hAnsi="Times New Roman" w:eastAsia="Times New Roman" w:cs="Times New Roman"/>
        </w:rPr>
        <w:t xml:space="preserve"> </w:t>
      </w:r>
      <m:oMath>
        <m:r>
          <m:rPr>
            <m:sty m:val="p"/>
          </m:rPr>
          <m:t>−</m:t>
        </m:r>
        <m:r>
          <m:t>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时不结冰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m:t>
          </m:r>
          <m:r>
            <m:t>5.400</m:t>
          </m:r>
          <m:r>
            <m:rPr>
              <m:sty m:val="p"/>
            </m:rPr>
            <m:t>−</m:t>
          </m:r>
          <m:r>
            <m:t>5.155</m:t>
          </m:r>
          <m:r>
            <m:rPr>
              <m:sty m:val="p"/>
            </m:rPr>
            <m:t>)</m:t>
          </m:r>
          <m:r>
            <m:rPr>
              <m:sty m:val="p"/>
            </m:rPr>
            <m:t>K</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t>x</m:t>
          </m:r>
          <m:r>
            <m:rPr>
              <m:sty m:val="p"/>
            </m:rPr>
            <m:t>=</m:t>
          </m:r>
          <m:r>
            <m:t>0.114</m:t>
          </m:r>
        </m:oMath>
      </m:oMathPara>
    </w:p>
    <w:p>
      <w:pPr>
        <w:pStyle w:val="FirstParagraph"/>
        <w:ind w:firstLine="420"/>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30"/>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Π</m:t>
          </m:r>
          <m:r>
            <m:rPr>
              <m:sty m:val="p"/>
            </m:rPr>
            <m:t>=</m:t>
          </m:r>
          <m:r>
            <m:t>c</m:t>
          </m:r>
          <m:r>
            <m:t>R</m:t>
          </m:r>
          <m:r>
            <m:t>T</m:t>
          </m:r>
        </m:oMath>
      </m:oMathPara>
    </w:p>
    <w:p>
      <w:pPr>
        <w:pStyle w:val="FirstParagraph"/>
      </w:pPr>
      <m:oMathPara>
        <m:oMathParaPr>
          <m:jc m:val="center"/>
          <m:ctrlPr>
            <w:rPr>
              <w:sz w:val="28"/>
              <w:szCs w:val="28"/>
            </w:rPr>
          </m:ctrlPr>
        </m:oMathParaPr>
        <m:oMath>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t>3.5</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t>99</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计算值与实验值有一定的差别</w:t>
      </w:r>
      <w:r>
        <w:rPr>
          <w:rFonts w:hint="eastAsia" w:ascii="Times New Roman" w:hAnsi="Times New Roman" w:eastAsia="Times New Roman" w:cs="Times New Roman"/>
        </w:rPr>
        <w:t>，</w:t>
      </w:r>
      <w:r>
        <w:rPr>
          <w:rFonts w:hint="eastAsia" w:ascii="Times New Roman" w:hAnsi="Times New Roman" w:eastAsia="FangSong" w:cs="Times New Roman"/>
        </w:rPr>
        <w:t>这是因为计算时溶液按理想溶液处理</w:t>
      </w:r>
      <w:r>
        <w:rPr>
          <w:rFonts w:hint="eastAsia" w:ascii="Times New Roman" w:hAnsi="Times New Roman" w:eastAsia="Times New Roman" w:cs="Times New Roman"/>
        </w:rPr>
        <w:t>。</w:t>
      </w:r>
      <w:r>
        <w:rPr>
          <w:rFonts w:hint="eastAsia" w:ascii="Times New Roman" w:hAnsi="Times New Roman" w:eastAsia="FangSong" w:cs="Times New Roman"/>
        </w:rPr>
        <w:t>而实际溶液中</w:t>
      </w:r>
      <w:r>
        <w:rPr>
          <w:rFonts w:hint="eastAsia" w:ascii="Times New Roman" w:hAnsi="Times New Roman" w:eastAsia="Times New Roman" w:cs="Times New Roman"/>
        </w:rPr>
        <w:t>，</w:t>
      </w:r>
      <w:r>
        <w:rPr>
          <w:rFonts w:hint="eastAsia" w:ascii="Times New Roman" w:hAnsi="Times New Roman" w:eastAsia="FangSong" w:cs="Times New Roman"/>
        </w:rPr>
        <w:t>溶质与溶剂</w:t>
      </w:r>
      <w:r>
        <w:rPr>
          <w:rFonts w:hint="eastAsia" w:ascii="Times New Roman" w:hAnsi="Times New Roman" w:eastAsia="Times New Roman" w:cs="Times New Roman"/>
        </w:rPr>
        <w:t>、</w:t>
      </w:r>
      <w:r>
        <w:rPr>
          <w:rFonts w:hint="eastAsia" w:ascii="Times New Roman" w:hAnsi="Times New Roman" w:eastAsia="FangSong" w:cs="Times New Roman"/>
        </w:rPr>
        <w:t>溶质分子或离子之间存在复杂的相互作用</w:t>
      </w:r>
      <w:r>
        <w:rPr>
          <w:rFonts w:hint="eastAsia" w:ascii="Times New Roman" w:hAnsi="Times New Roman" w:eastAsia="Times New Roman" w:cs="Times New Roman"/>
        </w:rPr>
        <w:t>。</w:t>
      </w:r>
    </w:p>
    <w:bookmarkEnd w:id="40"/>
    <w:bookmarkEnd w:id="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26" Type="http://schemas.openxmlformats.org/officeDocument/2006/relationships/image" Target="media/rId2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2026-09-30T14:44:27Z</dcterms:created>
  <dcterms:modified xsi:type="dcterms:W3CDTF">2026-09-30T14:44:27Z</dcterms:modified>
</cp:coreProperties>
</file>

<file path=docProps/custom.xml><?xml version="1.0" encoding="utf-8"?>
<Properties xmlns="http://schemas.openxmlformats.org/officeDocument/2006/custom-properties" xmlns:vt="http://schemas.openxmlformats.org/officeDocument/2006/docPropsVTypes"/>
</file>