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 w:eastAsia="Microsoft YaHei"/>
          <w:b/>
          <w:color w:val="17324D"/>
          <w:sz w:val="48"/>
        </w:rPr>
        <w:t>晶体结构类型与稳定性（基础班）上课大纲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Microsoft YaHei"/>
          <w:b w:val="0"/>
          <w:color w:val="5B6975"/>
          <w:sz w:val="22"/>
        </w:rPr>
        <w:t>第一轮基础班新授课｜3 课时 × 45 min｜教师课堂执行稿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一、课型定位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定位：第一轮基础班晶体结构专题，用“堆积—填隙—稳定性—物性”主链把教材第 13 章主干讲实。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主链：等径球堆积 → 空隙与填隙 → 典型离子结构 → 稳定性规则 → 晶体类型与物性。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外扩链：几何规则链（空间利用率、半径比）与修正规则链（Pauling 规则、离子极化、氢键型分子晶体）。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二、教学目标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知识：掌握点阵、结构基元、晶胞、密堆积、典型离子晶体结构与四类晶体的基本语言。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理解：能用半径比规则、Pauling 规则和离子极化解释典型结构选择。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应用：能从结构解释硬度、熔点、导电性、密度等典型物性。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三、教学重难点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维度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内容</w:t>
            </w:r>
          </w:p>
        </w:tc>
        <w:tc>
          <w:tcPr>
            <w:tcW w:type="dxa" w:w="4876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课堂处理</w:t>
            </w:r>
          </w:p>
        </w:tc>
      </w:tr>
      <w:tr>
        <w:tc>
          <w:tcPr>
            <w:tcW w:type="dxa" w:w="136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重点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堆积模型、填隙语言、典型离子结构</w:t>
            </w:r>
          </w:p>
        </w:tc>
        <w:tc>
          <w:tcPr>
            <w:tcW w:type="dxa" w:w="4876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反复用“骨架 + 空隙 + 配位数”说法回收，防止只背结构名。</w:t>
            </w:r>
          </w:p>
        </w:tc>
      </w:tr>
      <w:tr>
        <w:tc>
          <w:tcPr>
            <w:tcW w:type="dxa" w:w="136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重点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四类晶体与物性关系</w:t>
            </w:r>
          </w:p>
        </w:tc>
        <w:tc>
          <w:tcPr>
            <w:tcW w:type="dxa" w:w="4876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用金刚石 / 石墨 / 干冰 / 冰 / 铜做桥梁例子。</w:t>
            </w:r>
          </w:p>
        </w:tc>
      </w:tr>
      <w:tr>
        <w:tc>
          <w:tcPr>
            <w:tcW w:type="dxa" w:w="136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难点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半径比与极化修正规则</w:t>
            </w:r>
          </w:p>
        </w:tc>
        <w:tc>
          <w:tcPr>
            <w:tcW w:type="dxa" w:w="4876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先给几何直觉，再用 AgI、CuCl 反例说明规则不是万能的。</w:t>
            </w:r>
          </w:p>
        </w:tc>
      </w:tr>
      <w:tr>
        <w:tc>
          <w:tcPr>
            <w:tcW w:type="dxa" w:w="136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难点</w:t>
            </w:r>
          </w:p>
        </w:tc>
        <w:tc>
          <w:tcPr>
            <w:tcW w:type="dxa" w:w="2835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SiO₂ vs CO₂ 结构差异</w:t>
            </w:r>
          </w:p>
        </w:tc>
        <w:tc>
          <w:tcPr>
            <w:tcW w:type="dxa" w:w="4876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专门做一组“化学式相似但结构完全不同”的对照。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四、课时分配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课时</w:t>
            </w:r>
          </w:p>
        </w:tc>
        <w:tc>
          <w:tcPr>
            <w:tcW w:type="dxa" w:w="238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板块</w:t>
            </w:r>
          </w:p>
        </w:tc>
        <w:tc>
          <w:tcPr>
            <w:tcW w:type="dxa" w:w="425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核心任务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/>
                <w:color w:val="17324D"/>
                <w:sz w:val="21"/>
              </w:rPr>
              <w:t>媒介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课时 1</w:t>
            </w:r>
          </w:p>
        </w:tc>
        <w:tc>
          <w:tcPr>
            <w:tcW w:type="dxa" w:w="238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晶体语言与等径球堆积</w:t>
            </w:r>
          </w:p>
        </w:tc>
        <w:tc>
          <w:tcPr>
            <w:tcW w:type="dxa" w:w="425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讲清晶体、点阵、晶胞、sc/bcc/ccp/hcp、空隙与晶胞计数。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课时 2</w:t>
            </w:r>
          </w:p>
        </w:tc>
        <w:tc>
          <w:tcPr>
            <w:tcW w:type="dxa" w:w="238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典型离子晶体与稳定性规则</w:t>
            </w:r>
          </w:p>
        </w:tc>
        <w:tc>
          <w:tcPr>
            <w:tcW w:type="dxa" w:w="425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讲透 NaCl / CsCl / ZnS / CaF₂，补半径比、Pauling 与极化。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  <w:tr>
        <w:tc>
          <w:tcPr>
            <w:tcW w:type="dxa" w:w="124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课时 3</w:t>
            </w:r>
          </w:p>
        </w:tc>
        <w:tc>
          <w:tcPr>
            <w:tcW w:type="dxa" w:w="2381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其他晶体类型与物性解释</w:t>
            </w:r>
          </w:p>
        </w:tc>
        <w:tc>
          <w:tcPr>
            <w:tcW w:type="dxa" w:w="4252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讲四类晶体，做 SiO₂ / CO₂、金刚石 / 石墨、冰 / 水等桥梁对照。</w:t>
            </w:r>
          </w:p>
        </w:tc>
        <w:tc>
          <w:tcPr>
            <w:tcW w:type="dxa" w:w="1417"/>
          </w:tcPr>
          <w:p>
            <w:pPr>
              <w:spacing w:after="0" w:before="0" w:line="276" w:lineRule="auto"/>
            </w:pPr>
            <w:r>
              <w:rPr>
                <w:rFonts w:ascii="Times New Roman" w:hAnsi="Times New Roman" w:eastAsia="Microsoft YaHei"/>
                <w:b w:val="0"/>
                <w:sz w:val="21"/>
              </w:rPr>
              <w:t>PPT + 板书</w:t>
            </w:r>
          </w:p>
        </w:tc>
      </w:tr>
    </w:tbl>
    <w:p/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五、板书框架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左侧主线固定：晶体语言 → 堆积 → 空隙 → 填隙 → 半径比 / Pauling / 极化 → 物性。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右侧临时区：空间利用率几何关系、半径比直觉、例题解答路径。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必须板书的课堂口令：NaCl=fcc+八面体全填；ZnS=fcc+四面体半填；CaF₂=fcc+四面体全填；CsCl=两套简单立方互穿。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六、教师提醒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不要把这节课讲成纯晶体学符号课，晶系和点阵只保留第一轮够用口径。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不要只给结构图不给语言，所有典型结构都要求学生会用“骨架 + 填隙 + 配位数”复述。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要主动强调“几何上可行”不等于“真实稳定结构”，为后面的结构化学思维埋钩子。</w:t>
      </w:r>
    </w:p>
    <w:p>
      <w:pPr>
        <w:pStyle w:val="ListBullet"/>
        <w:spacing w:after="60" w:before="0" w:line="312" w:lineRule="auto"/>
        <w:ind w:left="420" w:hanging="255"/>
      </w:pPr>
      <w:r>
        <w:rPr>
          <w:rFonts w:ascii="Times New Roman" w:hAnsi="Times New Roman" w:eastAsia="Microsoft YaHei"/>
          <w:b w:val="0"/>
          <w:sz w:val="23"/>
        </w:rPr>
        <w:t>四类晶体部分一定回到性质，不要停留在分类表背诵。</w:t>
      </w:r>
    </w:p>
    <w:p>
      <w:pPr>
        <w:spacing w:after="80" w:before="160" w:line="288" w:lineRule="auto"/>
      </w:pPr>
      <w:r>
        <w:rPr>
          <w:rFonts w:ascii="Times New Roman" w:hAnsi="Times New Roman" w:eastAsia="Microsoft YaHei"/>
          <w:b/>
          <w:color w:val="17324D"/>
          <w:sz w:val="30"/>
        </w:rPr>
        <w:t>七、下节衔接</w:t>
      </w:r>
    </w:p>
    <w:p>
      <w:pPr>
        <w:spacing w:after="100" w:before="0" w:line="312" w:lineRule="auto"/>
      </w:pPr>
      <w:r>
        <w:rPr>
          <w:rFonts w:ascii="Times New Roman" w:hAnsi="Times New Roman" w:eastAsia="Microsoft YaHei"/>
          <w:b w:val="0"/>
          <w:sz w:val="23"/>
        </w:rPr>
        <w:t>可自然衔接到配位化学基础：本节建立了“配位数、空间构型、稳定性”的结构直觉，下节转入中心离子与配体组成的有限配位体系。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