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rPr>
          <w:sz w:val="34"/>
          <w:szCs w:val="34"/>
        </w:rPr>
        <w:t xml:space="preserve">中国化学奥林匹克全备课框架（教师查看版）</w:t>
      </w:r>
    </w:p>
    <w:p>
      <w:pPr>
        <w:spacing w:after="80" w:before="0"/>
        <w:jc w:val="center"/>
      </w:pPr>
      <w:r>
        <w:rPr>
          <w:sz w:val="22"/>
          <w:szCs w:val="22"/>
        </w:rPr>
        <w:t xml:space="preserve">版本日期：2026-06-19</w:t>
      </w:r>
    </w:p>
    <w:p>
      <w:pPr>
        <w:spacing w:after="180" w:before="0"/>
        <w:jc w:val="left"/>
      </w:pPr>
      <w:r>
        <w:rPr>
          <w:sz w:val="24"/>
          <w:szCs w:val="24"/>
        </w:rPr>
        <w:t xml:space="preserve">用途：作为整体备课框架供教师查看，帮助快速理解从第一轮到第四轮的课程结构、深度边界与衔接逻辑；第五轮及后续方向仅作简要说明。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一、总览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本框架采用“先基础语言、再系统专题、再深化迁移、最后冲刺缝合”的四轮主线结构。前四轮是当前的完整主线，第五轮及后续保留为决赛和个性化补强方向。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100"/>
        <w:gridCol w:w="2500"/>
        <w:gridCol w:w="3900"/>
        <w:gridCol w:w="1850"/>
      </w:tblGrid>
      <w:tr>
        <w:trPr>
          <w:tblHeader/>
        </w:trP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轮次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定位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核心内容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当前使用口径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第一轮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高中到竞赛的衔接轮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化学原理入门、结构语言建立、基础工具化训练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完整展开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第二轮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元素直觉 + 分析思维建立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元素化学主干、容量分析、元素推断综合训练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完整展开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第三轮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有机系统 + 结构/物化深化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有机反应体系、晶体与配位深化、动力学与热力学深化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完整展开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第四轮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冲刺缝合与难点突破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高等有机、立体选择性、人名反应、晶体推断、配位深化、物化综合、真题模拟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完整展开</w:t>
            </w:r>
          </w:p>
        </w:tc>
      </w:tr>
      <w:tr>
        <w:tc>
          <w:tcPr>
            <w:tcW w:type="dxa" w:w="11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第五轮+</w:t>
            </w:r>
          </w:p>
        </w:tc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决赛专题与后续拓展</w:t>
            </w:r>
          </w:p>
        </w:tc>
        <w:tc>
          <w:tcPr>
            <w:tcW w:type="dxa" w:w="3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决赛深水区、前沿专题、个性化补强</w:t>
            </w:r>
          </w:p>
        </w:tc>
        <w:tc>
          <w:tcPr>
            <w:tcW w:type="dxa" w:w="18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简要带过</w:t>
            </w:r>
          </w:p>
        </w:tc>
      </w:tr>
    </w:tbl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二、跨轮次深度边界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深度切分的核心原则是：同一知识点可以多轮次使用，但不同轮次只承担该轮的目标深度，避免提前展开高阶推导或冷门内容。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300"/>
        <w:gridCol w:w="3400"/>
        <w:gridCol w:w="4600"/>
      </w:tblGrid>
      <w:tr>
        <w:trPr>
          <w:tblHeader/>
        </w:trP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轮次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深度上限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DDEBF7" w:val="clear"/>
          </w:tcPr>
          <w:p>
            <w:pPr>
              <w:spacing w:after="60" w:before="6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教师提醒</w:t>
            </w:r>
          </w:p>
        </w:tc>
      </w:tr>
      <w:t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第一轮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原则上不高于《普通化学原理》；结构、晶体、配位、电化学、水溶液平衡可适度加深到《无机化学》层次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以建立语言和工具为主，禁止高阶理论挤占主线</w:t>
            </w:r>
          </w:p>
        </w:tc>
      </w:tr>
      <w:t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第二轮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系统讲元素化学与分析化学主线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不再把分析化学主内容后拖到第三轮</w:t>
            </w:r>
          </w:p>
        </w:tc>
      </w:tr>
      <w:t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第三轮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有机系统、结构深化、物化深化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允许机理与推导显著加深，但仍服务初赛主线</w:t>
            </w:r>
          </w:p>
        </w:tc>
      </w:tr>
      <w:t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第四轮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更深但不能更散，以冲刺专题和真题策略为核心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不再新铺大量冷门知识</w:t>
            </w:r>
          </w:p>
        </w:tc>
      </w:tr>
      <w:tr>
        <w:tc>
          <w:tcPr>
            <w:tcW w:type="dxa" w:w="1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第五轮+</w:t>
            </w:r>
          </w:p>
        </w:tc>
        <w:tc>
          <w:tcPr>
            <w:tcW w:type="dxa" w:w="3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决赛专题和前沿补强</w:t>
            </w:r>
          </w:p>
        </w:tc>
        <w:tc>
          <w:tcPr>
            <w:tcW w:type="dxa" w:w="46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当前只保留方向，不在本版中展开细节</w:t>
            </w:r>
          </w:p>
        </w:tc>
      </w:tr>
    </w:tbl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三、第一轮：化学原理与结构基础衔接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第一轮的核心任务，是把学生从高中化学拉到竞赛化学的语言体系中。不是把所有知识点一次讲完，而是建立后续能不断复用的工具和表达。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4200"/>
        <w:gridCol w:w="2650"/>
      </w:tblGrid>
      <w:tr>
        <w:trPr>
          <w:tblHeader/>
        </w:trP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内容概述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化学计量与气体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有效数字、理想气体状态方程、Dalton 分压、溶液浓度换算、基础化学计量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建立单位感和计算规范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原子结构与周期律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电子排布、周期律趋势、电离能、电负性、基础元素推断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只讲直觉与工具，不做高阶量子化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酸碱/热力学/平衡/电化学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Brønsted/Lewis 酸碱、焓熵自由能、平衡常数、原电池和 Nernst 方程基础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服务后续分析化学和元素化学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结构化学初步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Lewis 结构、VSEPR、杂化轨道、氢键、晶体和配合物基础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只建立语言，不追求全理论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教师提醒 1：第一轮默认采用“问题/现象 → 铺垫 → 推理 → 形成结论”的路径，不建议直接结论先行。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2：方程式书写、量子数判断、复杂推导等，只作为服务主线的工具，不应喧宾夺主。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3：第一轮课后材料，以帮助学生建立基本语言和计算规范为主。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四、第二轮：元素化学与分析化学系统轮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第二轮的任务，是让学生形成元素直觉和分析化学计算能力。它既是元素化学主干轮，也是后续陌生情境推断题的关键准备轮。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4300"/>
        <w:gridCol w:w="2650"/>
      </w:tblGrid>
      <w:tr>
        <w:trPr>
          <w:tblHeader/>
        </w:trPr>
        <w:tc>
          <w:tcPr>
            <w:tcW w:type="dxa" w:w="2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内容概述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主族与过渡元素</w:t>
            </w:r>
          </w:p>
        </w:tc>
        <w:tc>
          <w:tcPr>
            <w:tcW w:type="dxa" w:w="4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氢、卤素、氧硫氮磷、碳硅硼铝、碱金属碱土金属、稀有气体，以及 Ti-V-Cr-Mn、Fe-Co-Ni-Cu-Zn、Ag-Au-Hg-Mo-W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目标是形成元素直觉和题面信号识别</w:t>
            </w:r>
          </w:p>
        </w:tc>
      </w:tr>
      <w:tr>
        <w:tc>
          <w:tcPr>
            <w:tcW w:type="dxa" w:w="2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分析化学主线</w:t>
            </w:r>
          </w:p>
        </w:tc>
        <w:tc>
          <w:tcPr>
            <w:tcW w:type="dxa" w:w="4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容量分析基础、酸碱滴定、氧化还原滴定、沉淀滴定、络合滴定、重量分析、分光光度法、误差处理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第二轮系统讲完，不再后拖</w:t>
            </w:r>
          </w:p>
        </w:tc>
      </w:tr>
      <w:tr>
        <w:tc>
          <w:tcPr>
            <w:tcW w:type="dxa" w:w="24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情境化元素推断</w:t>
            </w:r>
          </w:p>
        </w:tc>
        <w:tc>
          <w:tcPr>
            <w:tcW w:type="dxa" w:w="4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颜色、沉淀、气体、价态变化、配位反应等多信号综合推断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是第二轮的能力收束点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教师提醒 1：元素化学不应只停留在“记性质”，要训练颜色、沉淀、气体、价态变化等多信号综合判断。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2：分析化学主内容在第二轮系统讲完，不再拖到第三轮。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3：第二轮是从“会背”转向“会由现象推断”的关键轮。</w:t>
      </w:r>
    </w:p>
    <w:p>
      <w:pPr>
        <w:pStyle w:val="Heading1"/>
        <w:pageBreakBefore/>
        <w:spacing w:after="120" w:before="0"/>
        <w:jc w:val="left"/>
      </w:pPr>
      <w:r>
        <w:rPr>
          <w:sz w:val="24"/>
          <w:szCs w:val="24"/>
        </w:rPr>
        <w:t xml:space="preserve">五、第三轮：有机系统与结构/物化深化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第三轮是课程难度和专题密度显著上升的一轮。核心不只是内容增多，而是开始要求学生具备有机机理、结构推断和深化计算的连续思维能力。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4200"/>
        <w:gridCol w:w="2650"/>
      </w:tblGrid>
      <w:tr>
        <w:trPr>
          <w:tblHeader/>
        </w:trP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内容概述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  <w:shd w:fill="EAF2F8" w:val="clear"/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有机系统 12 专题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电子效应、立体化学、机理基础、取代/消除、加成、羰基化学、重排、芳香反应、周环反应、自由基反应、逆合成与金属有机、杂原子与生物高分子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核心是机理思维与迁移能力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结构深化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晶体结构深化、配合物结构深化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从会算升级到会推断</w:t>
            </w:r>
          </w:p>
        </w:tc>
      </w:tr>
      <w:tr>
        <w:tc>
          <w:tcPr>
            <w:tcW w:type="dxa" w:w="25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物化深化</w:t>
            </w:r>
          </w:p>
        </w:tc>
        <w:tc>
          <w:tcPr>
            <w:tcW w:type="dxa" w:w="42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化学动力学深化、热力学与平衡深化</w:t>
            </w:r>
          </w:p>
        </w:tc>
        <w:tc>
          <w:tcPr>
            <w:tcW w:type="dxa" w:w="26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只到初赛与高频竞赛题可用边界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教师提醒 1：第三轮有机要突出“电子效应 → 中间体 → 机理 → 选择性 → 合成”的主线。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2：晶体和配位深化要从“会算”升级到“会推断”“会读图”“会组织分析语言”。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3：物化深化仍然要守住初赛可考边界，不宜提前铺满决赛深水区。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六、第四轮：冲刺缝合与高分区压缩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第四轮不是再铺新一轮基础知识，而是把前三轮已经建立的工具、专题和思维，压缩成能直接应对高分题和真题模拟的综合判断链。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900"/>
        <w:gridCol w:w="3300"/>
        <w:gridCol w:w="2700"/>
        <w:gridCol w:w="2450"/>
      </w:tblGrid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4-1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高等有机：反应机理与轨道理论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统一物理有机语言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支撑 4-2、4-3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4-2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有机立体化学与构象分析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解决近年立体热点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冲刺高频页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4-3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人名反应系统归类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零散反应压成机理族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强调迁移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4-4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晶体结构深度与推断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空间推断与投影判断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高分结构区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4-5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配合物与配位化学深化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磁性、JT、MO 级判断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深化结构化学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4-6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元素化学深度与结构推断综合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从记忆转向推断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跨专题缝合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4-7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物化综合计算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冲刺大分值综合计算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热力学/电化学/动力学联立</w:t>
            </w:r>
          </w:p>
        </w:tc>
      </w:tr>
      <w:tr>
        <w:tc>
          <w:tcPr>
            <w:tcW w:type="dxa" w:w="9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4-8</w:t>
            </w:r>
          </w:p>
        </w:tc>
        <w:tc>
          <w:tcPr>
            <w:tcW w:type="dxa" w:w="33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近五年真题限时模拟</w:t>
            </w:r>
          </w:p>
        </w:tc>
        <w:tc>
          <w:tcPr>
            <w:tcW w:type="dxa" w:w="270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真题验证与讲评收束</w:t>
            </w:r>
          </w:p>
        </w:tc>
        <w:tc>
          <w:tcPr>
            <w:tcW w:type="dxa" w:w="2450"/>
            <w:tcBorders>
              <w:top w:val="single" w:color="C7CED6" w:sz="1"/>
              <w:left w:val="single" w:color="C7CED6" w:sz="1"/>
              <w:bottom w:val="single" w:color="C7CED6" w:sz="1"/>
              <w:right w:val="single" w:color="C7CED6" w:sz="1"/>
            </w:tcBorders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第四轮总出口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/>
      </w:pPr>
      <w:r>
        <w:t xml:space="preserve">教师提醒 1：第四轮可以更深，但不能更散。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2：优先做最能影响分界线的专题，不追求“背景越多越好”。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教师提醒 3：真题模拟和讲评策略，本身就是第四轮的重要组成部分。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七、第五轮及后续方向（简版）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第五轮及后续阶段，主要面向决赛深水区、前沿专题与个性化补强。当前在教师查看版中只保留方向说明，不展开成完整专题表。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可能内容：决赛结构化学、物理化学深化、前沿有机方法学、超分子化学、专题化实验思想。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适用对象：已稳定完成前四轮主线，且需要继续向省队/决赛层推进的学生。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当前建议：第五轮以后按具体教师资源、学生层次和真实竞赛目标单独规划。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八、推荐使用方式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第一次接手课程的老师：先看本文件，再分别看第一轮到第四轮总体框架。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需要快速判断某一知识点该放哪一轮：先看本文件，再看“轮次深度切分总表”。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需要知道当前哪些专题已经真正落地：看“备课与教学思路待办”。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需要往下产出具体备课材料：按“总体框架 → 备课大纲 → 学生讲义”的顺序推进。</w:t>
      </w:r>
    </w:p>
    <w:p>
      <w:pPr>
        <w:pStyle w:val="Heading1"/>
        <w:spacing w:after="120" w:before="0"/>
        <w:jc w:val="left"/>
      </w:pPr>
      <w:r>
        <w:rPr>
          <w:sz w:val="24"/>
          <w:szCs w:val="24"/>
        </w:rPr>
        <w:t xml:space="preserve">九、当前执行口径</w:t>
      </w:r>
    </w:p>
    <w:p>
      <w:pPr>
        <w:spacing w:after="120" w:before="0"/>
        <w:jc w:val="left"/>
      </w:pPr>
      <w:r>
        <w:rPr>
          <w:sz w:val="24"/>
          <w:szCs w:val="24"/>
        </w:rPr>
        <w:t xml:space="preserve">截至 2026-06-19，当前课件主线只推进“备课大纲 + 学生讲义”。本文件是教师查看版总框架，目标是帮助统一理解课程结构，并不替代实时进度页。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全备课框架（教师查看版）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120"/>
      <w:jc w:val="center"/>
      <w:outlineLvl w:val="0"/>
    </w:pPr>
    <w:rPr>
      <w:rFonts w:ascii="Microsoft YaHei" w:cs="Microsoft YaHei" w:eastAsia="Microsoft YaHei" w:hAnsi="Microsoft YaHei"/>
      <w:b/>
      <w:bCs/>
      <w:color w:val="1F1F1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3B5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2026-06-19T15:13:12.273Z</dcterms:created>
  <dcterms:modified xsi:type="dcterms:W3CDTF">2026-06-19T15:13:12.274Z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