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立体化学与区域选择性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提高班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$CH_{2}=CH-CH_{2}OH \xrightarrow{\text{\text{Ti(OiPr)4,\ (+)-DET} }}[tBuOOH]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手性环氧醇</w:t>
      </w:r>
      <w:r>
        <w:rPr>
          <w:rFonts w:hint="eastAsia" w:ascii="Times New Roman" w:hAnsi="Times New Roman" w:eastAsia="Times New Roman" w:cs="Times New Roman"/>
        </w:rPr>
        <w:t>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$PhCOCH_{3} \xrightarrow{\text{\text{H2,\ Rh-Ru </w:t>
      </w:r>
      <w:r>
        <w:rPr>
          <w:rFonts w:hint="eastAsia" w:ascii="Times New Roman" w:hAnsi="Times New Roman" w:eastAsia="FangSong" w:cs="Times New Roman"/>
        </w:rPr>
        <w:t>手性膦催化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}} PhCH(OH)CH_{3}$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N-C*-H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（(S)-</w:t>
      </w:r>
      <w:r>
        <w:rPr>
          <w:rStyle w:val="VerbatimChar"/>
          <w:rFonts w:hint="eastAsia" w:ascii="Times New Roman" w:hAnsi="Times New Roman" w:eastAsia="FangSong" w:cs="Times New Roman"/>
        </w:rPr>
        <w:t>丙氨酸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2026-09-10T07:04:56Z</dcterms:created>
  <dcterms:modified xsi:type="dcterms:W3CDTF">2026-09-10T07:04:56Z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