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过渡金属催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Ch8（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Ch40（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过渡金属催化是现代有机合成化学的核心工具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覆盖偶联反应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活化四大板块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催化循环的拆解与理解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金属有机化学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催化循环基元步骤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能拆解催化循环为基元反应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/β-H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18e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规则判断配合物的稳定性与反应活性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交叉偶联反应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Heck、Suzuki、Negishi、Stille、Sonogashira </w:t>
            </w:r>
            <w:r>
              <w:rPr>
                <w:rFonts w:hint="eastAsia" w:ascii="Times New Roman" w:hAnsi="Times New Roman" w:eastAsia="FangSong" w:cs="Times New Roman"/>
              </w:rPr>
              <w:t xml:space="preserve">的底物与机理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催化烯烃复分解的金属杂环丁烷机理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氧化与</w:t>
            </w:r>
            <w:r>
              <w:rPr>
                <w:rFonts w:ascii="Times New Roman" w:hAnsi="Times New Roman" w:eastAsia="Times New Roman" w:cs="Times New Roman"/>
              </w:rPr>
              <w:t xml:space="preserve"> Buchwald-Hartwig </w:t>
            </w:r>
            <w:r>
              <w:rPr>
                <w:rFonts w:hint="eastAsia" w:ascii="Times New Roman" w:hAnsi="Times New Roman" w:eastAsia="FangSong" w:cs="Times New Roman"/>
              </w:rPr>
              <w:t xml:space="preserve">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能理解</w:t>
            </w:r>
            <w:r>
              <w:rPr>
                <w:rFonts w:ascii="Times New Roman" w:hAnsi="Times New Roman" w:eastAsia="Times New Roman" w:cs="Times New Roman"/>
              </w:rPr>
              <w:t xml:space="preserve"> 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氧化和</w:t>
            </w:r>
            <w:r>
              <w:rPr>
                <w:rFonts w:ascii="Times New Roman" w:hAnsi="Times New Roman" w:eastAsia="Times New Roman" w:cs="Times New Roman"/>
              </w:rPr>
              <w:t xml:space="preserve"> Buchwald-Hartwig </w:t>
            </w:r>
            <w:r>
              <w:rPr>
                <w:rFonts w:hint="eastAsia" w:ascii="Times New Roman" w:hAnsi="Times New Roman" w:eastAsia="FangSong" w:cs="Times New Roman"/>
              </w:rPr>
              <w:t xml:space="preserve">胺化的催化循环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Tsuji-Trost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能预测</w:t>
            </w:r>
            <w:r>
              <w:rPr>
                <w:rFonts w:ascii="Times New Roman" w:hAnsi="Times New Roman" w:eastAsia="Times New Roman" w:cs="Times New Roman"/>
              </w:rPr>
              <w:t xml:space="preserve"> Tsuji-Trost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反应的区域选择性和立体化学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（Ni、Pd、Pt）</w:t>
            </w:r>
            <w:r>
              <w:rPr>
                <w:rFonts w:hint="eastAsia" w:ascii="Times New Roman" w:hAnsi="Times New Roman" w:eastAsia="FangSong" w:cs="Times New Roman"/>
              </w:rPr>
              <w:t>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0800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（R/H）</w:t>
            </w:r>
            <w:r>
              <w:rPr>
                <w:rFonts w:hint="eastAsia" w:ascii="Times New Roman" w:hAnsi="Times New Roman" w:eastAsia="FangSong" w:cs="Times New Roman"/>
              </w:rPr>
              <w:t>迁移到配位的不饱和配体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、CO）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</w:t>
      </w:r>
      <w:r>
        <w:rPr>
          <w:rFonts w:hint="eastAsia" w:ascii="Times New Roman" w:hAnsi="Times New Roman" w:eastAsia="Times New Roman" w:cs="Times New Roman"/>
        </w:rPr>
        <w:t xml:space="preserve"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反应以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消除收尾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）；Suzuki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交叉偶联以还原消除收尾</w:t>
      </w:r>
      <w:r>
        <w:rPr>
          <w:rFonts w:hint="eastAsia" w:ascii="Times New Roman" w:hAnsi="Times New Roman" w:eastAsia="Times New Roman" w:cs="Times New Roman"/>
        </w:rPr>
        <w:t>（Ar–Ar′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无新双键生成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这是区分两类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dsp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金属充满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2143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端基羰基降至</w:t>
      </w:r>
      <w:r>
        <w:rPr>
          <w:rFonts w:ascii="Times New Roman" w:hAnsi="Times New Roman" w:eastAsia="Times New Roman" w:cs="Times New Roman"/>
        </w:rPr>
        <w:t xml:space="preserve"> ~2000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桥式羰基可低至</w:t>
      </w:r>
      <w:r>
        <w:rPr>
          <w:rFonts w:ascii="Times New Roman" w:hAnsi="Times New Roman" w:eastAsia="Times New Roman" w:cs="Times New Roman"/>
        </w:rPr>
        <w:t xml:space="preserve"> ~1800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7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–X（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–M（</w:t>
      </w:r>
      <w:r>
        <w:rPr>
          <w:rFonts w:hint="eastAsia" w:ascii="Times New Roman" w:hAnsi="Times New Roman" w:eastAsia="FangSong" w:cs="Times New Roman"/>
        </w:rPr>
        <w:t>有机金属试剂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：Pd(0)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–X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–Pd(II)–X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转金属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–Pd(II)–X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–M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MX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C–X </w:t>
      </w:r>
      <w:r>
        <w:rPr>
          <w:rFonts w:hint="eastAsia" w:ascii="Times New Roman" w:hAnsi="Times New Roman" w:eastAsia="FangSong" w:cs="Times New Roman"/>
        </w:rPr>
        <w:t>氧化加成慢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且生成的烷基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消除极快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Pd(0)L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+ Ar–X ──→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Ar–Pd–X + R–CH=CH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–CH(R)–Pd–X（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；Ar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加到端碳</w:t>
      </w:r>
      <w:r>
        <w:rPr>
          <w:rFonts w:hint="eastAsia" w:ascii="Times New Roman" w:hAnsi="Times New Roman" w:eastAsia="Times New Roman" w:cs="Times New Roman"/>
        </w:rPr>
        <w:t>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落到取代碳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Ar–CH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–CH(R)–Pd–X ──→ Ar–CH=CH–R + </w:t>
      </w:r>
      <w:r>
        <w:rPr>
          <w:rFonts w:hint="eastAsia" w:ascii="Times New Roman" w:hAnsi="Times New Roman" w:eastAsia="Times New Roman" w:cs="Times New Roman"/>
        </w:rPr>
        <w:t xml:space="preserve">H–Pd–X（β-H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H–Pd–X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──→ Pd(0) + HX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·HX（</w:t>
      </w:r>
      <w:r>
        <w:rPr>
          <w:rFonts w:hint="eastAsia" w:ascii="Times New Roman" w:hAnsi="Times New Roman" w:eastAsia="FangSong" w:cs="Times New Roman"/>
        </w:rPr>
        <w:t>还原再生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走阳离子型途径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正电荷落在连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碳上被稳定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得支链产物</w:t>
            </w:r>
          </w:p>
        </w:tc>
      </w:tr>
    </w:tbl>
    <w:bookmarkEnd w:id="22"/>
    <w:bookmarkStart w:id="23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5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5"/>
    <w:bookmarkStart w:id="26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6"/>
    <w:bookmarkStart w:id="27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7"/>
    <w:bookmarkStart w:id="28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0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1"/>
    <w:bookmarkStart w:id="32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C</m:t>
          </m:r>
          <m:r>
            <m:rPr>
              <m:sty m:val="p"/>
            </m:rPr>
            <m:t>#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#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6"/>
        </w:numPr>
        <w:spacing w:after="8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4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2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4"/>
    <w:bookmarkStart w:id="35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烯烃配位到</w:t>
      </w:r>
      <w:r>
        <w:rPr>
          <w:rFonts w:ascii="Times New Roman" w:hAnsi="Times New Roman" w:eastAsia="Times New Roman" w:cs="Times New Roman"/>
        </w:rPr>
        <w:t xml:space="preserve"> Pd(II) ──→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亲核进攻</w:t>
      </w:r>
      <w:r>
        <w:rPr>
          <w:rFonts w:hint="eastAsia" w:ascii="Times New Roman" w:hAnsi="Times New Roman" w:eastAsia="FangSong" w:cs="Times New Roman"/>
          <w:b/>
          <w:bCs/>
        </w:rPr>
        <w:t xml:space="preserve">取代较多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），Pd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落到取代较少的碳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羟基烷基</w:t>
      </w:r>
      <w:r>
        <w:rPr>
          <w:rFonts w:hint="eastAsia" w:ascii="Times New Roman" w:hAnsi="Times New Roman" w:eastAsia="Times New Roman" w:cs="Times New Roman"/>
        </w:rPr>
        <w:t>–Pd(II)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H–Pd(II)–X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烯醇互变异构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催化剂失活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──→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Cu）；CuCl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──→ CuCl + </w:t>
      </w:r>
      <w:r>
        <w:rPr>
          <w:rFonts w:hint="eastAsia" w:ascii="Times New Roman" w:hAnsi="Times New Roman" w:eastAsia="Times New Roman" w:cs="Times New Roman"/>
        </w:rPr>
        <w:t xml:space="preserve">Pd(II)（Pd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→ CuCl + PdCl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8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8"/>
    <w:bookmarkStart w:id="39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39"/>
    <w:bookmarkStart w:id="40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烯烃复分解的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金属杂环丁烷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C=CHR′ </w:t>
      </w:r>
      <w:r>
        <w:rPr>
          <w:rFonts w:hint="eastAsia" w:ascii="Times New Roman" w:hAnsi="Times New Roman" w:eastAsia="FangSong" w:cs="Times New Roman"/>
        </w:rPr>
        <w:t xml:space="preserve">配位到金属卡宾</w:t>
      </w:r>
      <w:r>
        <w:rPr>
          <w:rFonts w:ascii="Times New Roman" w:hAnsi="Times New Roman" w:eastAsia="Times New Roman" w:cs="Times New Roman"/>
        </w:rPr>
        <w:t xml:space="preserve"> [M]=CHR。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环加成形成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[M]–C–C–C）。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生成新卡宾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[M]=CH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若用内烯</w:t>
      </w:r>
      <w:r>
        <w:rPr>
          <w:rFonts w:ascii="Times New Roman" w:hAnsi="Times New Roman" w:eastAsia="Times New Roman" w:cs="Times New Roman"/>
        </w:rPr>
        <w:t xml:space="preserve"> R″CH=CHR′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[M]=CHR″）+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RCH=CHR′（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净结果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Pd(0) + R–CH=CH–CH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–OAc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π-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阳离子配合物</w:t>
      </w:r>
      <w:r>
        <w:rPr>
          <w:rFonts w:hint="eastAsia" w:ascii="Times New Roman" w:hAnsi="Times New Roman" w:eastAsia="Times New Roman" w:cs="Times New Roman"/>
        </w:rPr>
        <w:t>（η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，16e）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+ Pd(0)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5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5"/>
    <w:bookmarkStart w:id="46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Ar–X + Pd(0) 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HNR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胺配位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NaOtBu，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HX）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→ Ar–Pd(II)–NR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→ Ar–NR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6"/>
    <w:bookmarkStart w:id="47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9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49"/>
    <w:bookmarkStart w:id="50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0"/>
    <w:bookmarkStart w:id="51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3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3"/>
    <w:bookmarkStart w:id="54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4"/>
    <w:bookmarkStart w:id="55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9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7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Suzuki（Ar–Ar′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直接相连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无新双键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条件必有碱</w:t>
            </w:r>
            <w:r>
              <w:rPr>
                <w:rFonts w:hint="eastAsia" w:ascii="Times New Roman" w:hAnsi="Times New Roman" w:eastAsia="Times New Roman" w:cs="Times New Roman"/>
              </w:rPr>
              <w:t>；Heck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产物必含双键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7"/>
    <w:bookmarkStart w:id="58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0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0"/>
    <w:bookmarkStart w:id="61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1"/>
    <w:bookmarkStart w:id="62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金属价电子数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+ [∑ </w:t>
      </w:r>
      <w:r>
        <w:rPr>
          <w:rFonts w:hint="eastAsia" w:ascii="Times New Roman" w:hAnsi="Times New Roman" w:eastAsia="FangSong" w:cs="Times New Roman"/>
        </w:rPr>
        <w:t>配体贡献的电子数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总电子数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(d)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(e) 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4"/>
    <w:bookmarkStart w:id="65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bookmarkEnd w:id="65"/>
    <w:bookmarkStart w:id="66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A：Ar–Pd(II)–Br(PPh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B：Pd(0)(PPh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C：Ar–Pd(II)–Ar'(PPh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D：Ar–Pd(II)–B(OH)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>排列顺序</w:t>
      </w:r>
      <w:r>
        <w:rPr>
          <w:rStyle w:val="VerbatimChar"/>
          <w:rFonts w:hint="eastAsia" w:ascii="SimSun" w:hAnsi="SimSun" w:eastAsia="SimSun" w:cs="SimSun"/>
        </w:rPr>
        <w:t>：______</w:t>
      </w:r>
      <w:r>
        <w:rPr>
          <w:rStyle w:val="VerbatimChar"/>
          <w:rFonts w:ascii="SimSun" w:hAnsi="SimSun" w:eastAsia="SimSun" w:cs="SimSun"/>
        </w:rPr>
        <w:t xml:space="preserve"> → ______ → ______ → ______ → </w:t>
      </w:r>
      <w:r>
        <w:rPr>
          <w:rStyle w:val="VerbatimChar"/>
          <w:rFonts w:hint="eastAsia" w:ascii="SimSun" w:hAnsi="SimSun" w:eastAsia="SimSun" w:cs="SimSun"/>
        </w:rPr>
        <w:t>______（</w:t>
      </w:r>
      <w:r>
        <w:rPr>
          <w:rStyle w:val="VerbatimChar"/>
          <w:rFonts w:hint="eastAsia" w:ascii="SimSun" w:hAnsi="SimSun" w:eastAsia="SimSun" w:cs="SimSun"/>
        </w:rPr>
        <w:t>再生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 xml:space="preserve">到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的反应名称是什么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金属氧化态如何变化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 xml:space="preserve">到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的反应名称是什么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碱在其中的作用是什么</w:t>
      </w:r>
      <w:r>
        <w:rPr>
          <w:rStyle w:val="VerbatimChar"/>
          <w:rFonts w:hint="eastAsia" w:ascii="SimSun" w:hAnsi="SimSun" w:eastAsia="SimSun" w:cs="SimSu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条件</w:t>
      </w:r>
      <w:r>
        <w:rPr>
          <w:rStyle w:val="VerbatimChar"/>
          <w:rFonts w:hint="eastAsia" w:ascii="SimSun" w:hAnsi="SimSun" w:eastAsia="SimSun" w:cs="SimSun"/>
        </w:rPr>
        <w:t>：4-</w:t>
      </w:r>
      <w:r>
        <w:rPr>
          <w:rStyle w:val="VerbatimChar"/>
          <w:rFonts w:hint="eastAsia" w:ascii="SimSun" w:hAnsi="SimSun" w:eastAsia="SimSun" w:cs="SimSun"/>
        </w:rPr>
        <w:t>溴苯甲醚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丙烯酸甲酯</w:t>
      </w:r>
      <w:r>
        <w:rPr>
          <w:rStyle w:val="VerbatimChar"/>
          <w:rFonts w:ascii="SimSun" w:hAnsi="SimSun" w:eastAsia="SimSun" w:cs="SimSun"/>
        </w:rPr>
        <w:t xml:space="preserve"> + Pd(OAc)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(5 mol%) + PPh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(10 mol%) + Et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N (2 equiv) + DMF, 100°C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该反应属于哪种类型的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催化反应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>画出催化循环中涉及的四个关键中间体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预测产物</w:t>
      </w:r>
      <w:r>
        <w:rPr>
          <w:rStyle w:val="VerbatimChar"/>
          <w:rFonts w:ascii="SimSun" w:hAnsi="SimSun" w:eastAsia="SimSun" w:cs="SimSun"/>
        </w:rPr>
        <w:t xml:space="preserve"> X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并说明为什么产物中双键的构型是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型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计算不饱和度</w:t>
      </w:r>
      <w:r>
        <w:rPr>
          <w:rStyle w:val="VerbatimChar"/>
          <w:rFonts w:ascii="SimSun" w:hAnsi="SimSun" w:eastAsia="SimSun" w:cs="SimSun"/>
        </w:rPr>
        <w:t xml:space="preserve"> 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(b) IR 1665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与正常酮</w:t>
      </w:r>
      <w:r>
        <w:rPr>
          <w:rStyle w:val="VerbatimChar"/>
          <w:rFonts w:hint="eastAsia" w:ascii="SimSun" w:hAnsi="SimSun" w:eastAsia="SimSun" w:cs="SimSun"/>
        </w:rPr>
        <w:t>（1715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cm</w:t>
      </w:r>
      <w:r>
        <w:rPr>
          <w:rStyle w:val="VerbatimChar"/>
          <w:rFonts w:hint="eastAsia" w:ascii="SimSun" w:hAnsi="SimSun" w:eastAsia="SimSun" w:cs="SimSun"/>
          <w:vertAlign w:val="superscript"/>
        </w:rPr>
        <w:t>-1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相比为何偏低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2.6 (s, 3H) </w:t>
      </w:r>
      <w:r>
        <w:rPr>
          <w:rStyle w:val="VerbatimChar"/>
          <w:rFonts w:hint="eastAsia" w:ascii="SimSun" w:hAnsi="SimSun" w:eastAsia="SimSun" w:cs="SimSun"/>
        </w:rPr>
        <w:t>是什么基团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综合推断</w:t>
      </w:r>
      <w:r>
        <w:rPr>
          <w:rStyle w:val="VerbatimChar"/>
          <w:rFonts w:ascii="SimSun" w:hAnsi="SimSun" w:eastAsia="SimSun" w:cs="SimSun"/>
        </w:rPr>
        <w:t xml:space="preserve"> Y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：Y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可由苯乙酮经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催化反应合成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66"/>
    <w:bookmarkEnd w:id="67"/>
    <w:bookmarkStart w:id="71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8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>。(b) Pd(II)=8, 2×Cl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=4, 2×MeCN=4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Ar–Ar′ </w:t>
      </w:r>
      <w:r>
        <w:rPr>
          <w:rFonts w:hint="eastAsia" w:ascii="Times New Roman" w:hAnsi="Times New Roman" w:eastAsia="FangSong" w:cs="Times New Roman"/>
        </w:rPr>
        <w:t>直接相连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无新双键生成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8"/>
    <w:bookmarkStart w:id="69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  <m:r>
              <m:t>d</m:t>
            </m:r>
            <m:r>
              <m:t>C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t>C</m:t>
            </m:r>
            <m:r>
              <m:t>u</m:t>
            </m:r>
            <m:r>
              <m:t>C</m:t>
            </m:r>
            <m:r>
              <m:t>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环己烯是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FangSong" w:cs="Times New Roman"/>
        </w:rPr>
        <w:t>而非底物</w:t>
      </w:r>
      <w:r>
        <w:rPr>
          <w:rFonts w:hint="eastAsia" w:ascii="Times New Roman" w:hAnsi="Times New Roman" w:eastAsia="Times New Roman" w:cs="Times New Roman"/>
        </w:rPr>
        <w:t>——RCM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需开链二烯作底物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反向看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G</m:t>
            </m:r>
            <m:r>
              <m:t>r</m:t>
            </m:r>
            <m:r>
              <m:t>u</m:t>
            </m:r>
            <m:r>
              <m:t>b</m:t>
            </m:r>
            <m:r>
              <m:t>b</m:t>
            </m:r>
            <m:r>
              <m:t>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Me)–Pd(II)–Br(PPh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加到端碳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甲基酮典型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2.1–2.6；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2026-09-21T11:34:32Z</dcterms:created>
  <dcterms:modified xsi:type="dcterms:W3CDTF">2026-09-21T11:34:32Z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