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O/N/S/</w:t>
      </w:r>
      <w:r>
        <w:rPr>
          <w:rFonts w:hint="eastAsia" w:ascii="Times New Roman" w:hAnsi="Times New Roman" w:eastAsia="FangSong" w:cs="Times New Roman"/>
        </w:rPr>
        <w:t>卤素作为杂原子的电子效应及对反应活性的影响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能比较五元芳杂环与六元芳杂环的电子性质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芳香性强弱与主要反应倾向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异头碳是否自由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判断糖的变旋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还原性与糖苷化结果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计算常见氨基酸的等电点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并用净电荷判断电泳方向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含磷试剂</w:t>
      </w:r>
      <w:r>
        <w:rPr>
          <w:rFonts w:hint="eastAsia" w:ascii="Times New Roman" w:hAnsi="Times New Roman" w:eastAsia="Times New Roman" w:cs="Times New Roman"/>
        </w:rPr>
        <w:t>（Wittig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的反应特征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能根据重复单元反推常见高分子的单体与聚合类型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通过氯代亚硫酸酯中间体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R-S-R’（</w:t>
      </w:r>
      <w:r>
        <w:rPr>
          <w:rFonts w:hint="eastAsia" w:ascii="Times New Roman" w:hAnsi="Times New Roman" w:eastAsia="FangSong" w:cs="Times New Roman"/>
        </w:rPr>
        <w:t>硫醚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RT)→ </w:t>
      </w:r>
      <w:r>
        <w:rPr>
          <w:rFonts w:hint="eastAsia" w:ascii="Times New Roman" w:hAnsi="Times New Roman" w:eastAsia="Times New Roman" w:cs="Times New Roman"/>
        </w:rPr>
        <w:t>R-S(=O)-R’（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Δ)→ </w:t>
      </w:r>
      <w:r>
        <w:rPr>
          <w:rFonts w:hint="eastAsia" w:ascii="Times New Roman" w:hAnsi="Times New Roman" w:eastAsia="Times New Roman" w:cs="Times New Roman"/>
        </w:rPr>
        <w:t>R-S(=O)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-R’（</w:t>
      </w:r>
      <w:r>
        <w:rPr>
          <w:rFonts w:hint="eastAsia" w:ascii="Times New Roman" w:hAnsi="Times New Roman" w:eastAsia="FangSong" w:cs="Times New Roman"/>
        </w:rPr>
        <w:t>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R-CH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-S(=O)-R' + Ac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→ </w:t>
      </w:r>
      <w:r>
        <w:rPr>
          <w:rStyle w:val="VerbatimChar"/>
          <w:rFonts w:ascii="SimSun" w:hAnsi="SimSun" w:eastAsia="SimSun" w:cs="SimSun"/>
        </w:rPr>
        <w:t>[</w:t>
      </w:r>
      <w:r>
        <w:rPr>
          <w:rStyle w:val="VerbatimChar"/>
          <w:rFonts w:ascii="SimSun" w:hAnsi="SimSun" w:eastAsia="SimSun" w:cs="SimSun"/>
        </w:rPr>
        <w:t>硫鎓中间体</w:t>
      </w:r>
      <w:r>
        <w:rPr>
          <w:rStyle w:val="VerbatimChar"/>
          <w:rFonts w:ascii="SimSun" w:hAnsi="SimSun" w:eastAsia="SimSun" w:cs="SimSun"/>
        </w:rPr>
        <w:t>]</w:t>
      </w:r>
      <w:r>
        <w:rPr>
          <w:rStyle w:val="VerbatimChar"/>
          <w:rFonts w:ascii="SimSun" w:hAnsi="SimSun" w:eastAsia="SimSun" w:cs="SimSun"/>
        </w:rPr>
        <w:t xml:space="preserve"> → R-CH(OAc)-S-R'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P + R'-X → 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P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-R' X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</w:rPr>
        <w:t>(</w:t>
      </w:r>
      <w:r>
        <w:rPr>
          <w:rStyle w:val="VerbatimChar"/>
          <w:rFonts w:ascii="SimSun" w:hAnsi="SimSun" w:eastAsia="SimSun" w:cs="SimSun"/>
        </w:rPr>
        <w:t>鏻盐形成</w:t>
      </w:r>
      <w:r>
        <w:rPr>
          <w:rStyle w:val="VerbatimChar"/>
          <w:rFonts w:ascii="SimSun" w:hAnsi="SimSun" w:eastAsia="SimSun" w:cs="SimSun"/>
        </w:rPr>
        <w:t>，SN2)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P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-R' X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ascii="SimSun" w:hAnsi="SimSun" w:eastAsia="SimSun" w:cs="SimSun"/>
        </w:rPr>
        <w:t>强碱</w:t>
      </w:r>
      <w:r>
        <w:rPr>
          <w:rStyle w:val="VerbatimChar"/>
          <w:rFonts w:ascii="SimSun" w:hAnsi="SimSun" w:eastAsia="SimSun" w:cs="SimSun"/>
        </w:rPr>
        <w:t>(BuLi/NaH)</w:t>
      </w:r>
      <w:r>
        <w:rPr>
          <w:rStyle w:val="VerbatimChar"/>
          <w:rFonts w:ascii="SimSun" w:hAnsi="SimSun" w:eastAsia="SimSun" w:cs="SimSun"/>
        </w:rPr>
        <w:t xml:space="preserve"> → 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P=CR'R"  </w:t>
      </w:r>
      <w:r>
        <w:rPr>
          <w:rStyle w:val="VerbatimChar"/>
          <w:rFonts w:ascii="SimSun" w:hAnsi="SimSun" w:eastAsia="SimSun" w:cs="SimSun"/>
        </w:rPr>
        <w:t>(</w:t>
      </w:r>
      <w:r>
        <w:rPr>
          <w:rStyle w:val="VerbatimChar"/>
          <w:rFonts w:ascii="SimSun" w:hAnsi="SimSun" w:eastAsia="SimSun" w:cs="SimSun"/>
        </w:rPr>
        <w:t>叶立德</w:t>
      </w:r>
      <w:r>
        <w:rPr>
          <w:rStyle w:val="VerbatimChar"/>
          <w:rFonts w:ascii="SimSun" w:hAnsi="SimSun" w:eastAsia="SimSun" w:cs="SimSun"/>
        </w:rPr>
        <w:t>，</w:t>
      </w:r>
      <w:r>
        <w:rPr>
          <w:rStyle w:val="VerbatimChar"/>
          <w:rFonts w:ascii="SimSun" w:hAnsi="SimSun" w:eastAsia="SimSun" w:cs="SimSun"/>
        </w:rPr>
        <w:t>邻位电荷分离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P=CR'R" + R'''-CHO → 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P=O + R-CH=CR'R"  </w:t>
      </w:r>
      <w:r>
        <w:rPr>
          <w:rStyle w:val="VerbatimChar"/>
          <w:rFonts w:ascii="SimSun" w:hAnsi="SimSun" w:eastAsia="SimSun" w:cs="SimSun"/>
        </w:rPr>
        <w:t>(</w:t>
      </w:r>
      <w:r>
        <w:rPr>
          <w:rStyle w:val="VerbatimChar"/>
          <w:rFonts w:ascii="SimSun" w:hAnsi="SimSun" w:eastAsia="SimSun" w:cs="SimSun"/>
        </w:rPr>
        <w:t>烯烃</w:t>
      </w:r>
      <w:r>
        <w:rPr>
          <w:rStyle w:val="VerbatimChar"/>
          <w:rFonts w:ascii="SimSun" w:hAnsi="SimSun" w:eastAsia="SimSun" w:cs="SimSun"/>
        </w:rPr>
        <w:t>，</w:t>
      </w:r>
      <w:r>
        <w:rPr>
          <w:rStyle w:val="VerbatimChar"/>
          <w:rFonts w:ascii="SimSun" w:hAnsi="SimSun" w:eastAsia="SimSun" w:cs="SimSun"/>
        </w:rPr>
        <w:t>立体选择性</w:t>
      </w:r>
      <w:r>
        <w:rPr>
          <w:rStyle w:val="VerbatimChar"/>
          <w:rFonts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Witting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吡啶的碱性与芳香取代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Ph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—(NaH)→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P=CHPh（</w:t>
      </w:r>
      <w:r>
        <w:rPr>
          <w:rFonts w:hint="eastAsia" w:ascii="Times New Roman" w:hAnsi="Times New Roman" w:eastAsia="FangSong" w:cs="Times New Roman"/>
        </w:rPr>
        <w:t>苄基叶立德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P=CHPh + PhCHO → </w:t>
      </w:r>
      <w:r>
        <w:rPr>
          <w:rFonts w:hint="eastAsia" w:ascii="Times New Roman" w:hAnsi="Times New Roman" w:eastAsia="Times New Roman" w:cs="Times New Roman"/>
        </w:rPr>
        <w:t>PhCH=CHPh（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糖的变旋与还原性判断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氨基酸等电点与电泳方向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聚合物反推单体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常见高分子的重复单元结构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左侧为加聚产物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右侧为缩聚产物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主链含酯键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酰胺键等官能团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PET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杂环芳香性与反应位点综合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6，</w:t>
            </w:r>
            <w:r>
              <w:rPr>
                <w:rFonts w:hint="eastAsia" w:ascii="Times New Roman" w:hAnsi="Times New Roman" w:eastAsia="FangSong" w:cs="Times New Roman"/>
                <w:vertAlign w:val="subscript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→C2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C5</w:t>
      </w:r>
      <w:r>
        <w:rPr>
          <w:rFonts w:hint="eastAsia" w:ascii="Times New Roman" w:hAnsi="Times New Roman" w:eastAsia="FangSong" w:cs="Times New Roman"/>
        </w:rPr>
        <w:t>构型相同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。Ruff</w:t>
      </w:r>
      <w:r>
        <w:rPr>
          <w:rFonts w:hint="eastAsia" w:ascii="Times New Roman" w:hAnsi="Times New Roman" w:eastAsia="FangSong" w:cs="Times New Roman"/>
        </w:rPr>
        <w:t>降级后仍得无旋光糖二酸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综合考虑为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Phe-Ala-Gly，</w:t>
      </w:r>
      <w:r>
        <w:rPr>
          <w:rFonts w:hint="eastAsia" w:ascii="Times New Roman" w:hAnsi="Times New Roman" w:eastAsia="FangSong" w:cs="Times New Roman"/>
        </w:rPr>
        <w:t>需根据水解产物等物质的量推断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若等物质的量则</w:t>
      </w:r>
      <w:r>
        <w:rPr>
          <w:rFonts w:hint="eastAsia" w:ascii="Times New Roman" w:hAnsi="Times New Roman" w:eastAsia="Times New Roman" w:cs="Times New Roman"/>
        </w:rPr>
        <w:t>Phe-Gly-Ala，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Phe、Gly、Ala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2026-09-11T10:56:39Z</dcterms:created>
  <dcterms:modified xsi:type="dcterms:W3CDTF">2026-09-11T10:56:39Z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