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AgCl——</w:t>
      </w:r>
      <w:r>
        <w:rPr>
          <w:rFonts w:hint="eastAsia" w:ascii="Times New Roman" w:hAnsi="Times New Roman" w:eastAsia="FangSong" w:cs="Times New Roman"/>
        </w:rPr>
        <w:t>相当于每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万升水里溶掉约</w:t>
      </w:r>
      <w:r>
        <w:rPr>
          <w:rFonts w:ascii="Times New Roman" w:hAnsi="Times New Roman" w:eastAsia="Times New Roman" w:cs="Times New Roman"/>
        </w:rPr>
        <w:t xml:space="preserve"> 1.9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>中化学计量数如何同时影响指数与系数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其饱和溶液显明显碱性的实验事实一致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这也是检查答案是否合理的一个角度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氨水完全反应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0.045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充分多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则转化率的计算需以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的消耗为限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故一次处理转化的比例为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一次处理转化率仅约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3.68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3.68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这个窗口很窄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c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1.76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2026-09-19T12:31:46Z</dcterms:created>
  <dcterms:modified xsi:type="dcterms:W3CDTF">2026-09-19T12:31:46Z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