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有机物结构的表达</w:t>
      </w:r>
      <w:r>
        <w:rPr>
          <w:rFonts w:ascii="Times New Roman" w:hAnsi="Times New Roman" w:eastAsia="Times New Roman" w:cs="Times New Roman"/>
        </w:rPr>
        <w:t xml:space="preserve"> · §25 </w:t>
      </w:r>
      <w:r>
        <w:rPr>
          <w:rFonts w:hint="eastAsia" w:ascii="Times New Roman" w:hAnsi="Times New Roman" w:eastAsia="FangSong" w:cs="Times New Roman"/>
        </w:rPr>
        <w:t xml:space="preserve">互变异构体</w:t>
      </w:r>
      <w:r>
        <w:rPr>
          <w:rFonts w:ascii="Times New Roman" w:hAnsi="Times New Roman" w:eastAsia="Times New Roman" w:cs="Times New Roman"/>
        </w:rPr>
        <w:t xml:space="preserve"> · §26 </w:t>
      </w:r>
      <w:r>
        <w:rPr>
          <w:rFonts w:hint="eastAsia" w:ascii="Times New Roman" w:hAnsi="Times New Roman" w:eastAsia="FangSong" w:cs="Times New Roman"/>
        </w:rPr>
        <w:t xml:space="preserve">有机物的命名</w:t>
      </w:r>
      <w:r>
        <w:rPr>
          <w:rFonts w:ascii="Times New Roman" w:hAnsi="Times New Roman" w:eastAsia="Times New Roman" w:cs="Times New Roman"/>
        </w:rPr>
        <w:t xml:space="preserve"> · §27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§28 </w:t>
      </w:r>
      <w:r>
        <w:rPr>
          <w:rFonts w:hint="eastAsia" w:ascii="Times New Roman" w:hAnsi="Times New Roman" w:eastAsia="FangSong" w:cs="Times New Roman"/>
        </w:rPr>
        <w:t xml:space="preserve">有机物结构的稳定性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类别判断与异构体数目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能根据分子式判断有机物的类别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官能团和可能的异构体数目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键线式与结构互译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能熟练使用键线式表示有机物结构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并完成键线式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结构简式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分子式的互译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§26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有机物的命名</w:t>
            </w:r>
            <w:r>
              <w:rPr>
                <w:rFonts w:ascii="Times New Roman" w:hAnsi="Times New Roman" w:eastAsia="Times New Roman" w:cs="Times New Roman"/>
              </w:rPr>
              <w:t xml:space="preserve"> · IUPAC </w:t>
            </w:r>
            <w:r>
              <w:rPr>
                <w:rFonts w:hint="eastAsia" w:ascii="Times New Roman" w:hAnsi="Times New Roman" w:eastAsia="FangSong" w:cs="Times New Roman"/>
              </w:rPr>
              <w:t xml:space="preserve">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IUPAC </w:t>
            </w:r>
            <w:r>
              <w:rPr>
                <w:rFonts w:hint="eastAsia" w:ascii="Times New Roman" w:hAnsi="Times New Roman" w:eastAsia="FangSong" w:cs="Times New Roman"/>
              </w:rPr>
              <w:t>系统命名法命名常见有机化合物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含立体化学标记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手性碳与</w:t>
            </w:r>
            <w:r>
              <w:rPr>
                <w:rFonts w:ascii="Times New Roman" w:hAnsi="Times New Roman" w:eastAsia="Times New Roman" w:cs="Times New Roman"/>
              </w:rPr>
              <w:t xml:space="preserve"> R/S </w:t>
            </w:r>
            <w:r>
              <w:rPr>
                <w:rFonts w:hint="eastAsia" w:ascii="Times New Roman" w:hAnsi="Times New Roman" w:eastAsia="FangSong" w:cs="Times New Roman"/>
              </w:rP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能判断含手性碳原子的分子是否具有手性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R/S </w:t>
            </w:r>
            <w:r>
              <w:rPr>
                <w:rFonts w:hint="eastAsia" w:ascii="Times New Roman" w:hAnsi="Times New Roman" w:eastAsia="FangSong" w:cs="Times New Roman"/>
              </w:rPr>
              <w:t xml:space="preserve">标记构型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§28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有机物结构的稳定性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能用诱导效应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超共轭效应解释酸碱性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稳定性和反应活性的定性规律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6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5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杂环和碳环的区别在于环上是否有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>等杂原子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杂环化合物按环是否具有芳香性分为</w:t>
      </w:r>
      <w:r>
        <w:rPr>
          <w:rFonts w:hint="eastAsia" w:ascii="Times New Roman" w:hAnsi="Times New Roman" w:eastAsia="FangSong" w:cs="Times New Roman"/>
          <w:b/>
          <w:bCs/>
        </w:rPr>
        <w:t xml:space="preserve">脂杂环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芳杂环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键线式是竞赛书写答案的标准形式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9610" cy="16679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54a58a59cbde9af9f01928c0134de1268dfa39b2b7363f4e4520e91cf2f5650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10" cy="1667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8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对环芳烷型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苯环被短桥锁在大环中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翻转受阻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苯环平面取向被固定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苯环平面两侧取代基不对称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[2.2]</w:t>
            </w:r>
            <w:r>
              <w:rPr>
                <w:rFonts w:hint="eastAsia" w:ascii="Times New Roman" w:hAnsi="Times New Roman" w:eastAsia="FangSong" w:cs="Times New Roman"/>
              </w:rPr>
              <w:t>对环芳烷衍生物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非手性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手性环境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非手性环境中相同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手性环境中不同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与环境是否手性无关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化学性质相同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对映体只在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非手性环境</w:t>
      </w:r>
      <w:r>
        <w:rPr>
          <w:rFonts w:hint="eastAsia" w:ascii="Times New Roman" w:hAnsi="Times New Roman" w:eastAsia="FangSong" w:cs="Times New Roman"/>
        </w:rPr>
        <w:t>中化学性质相同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与同一非手性试剂反应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速率与产物一致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一旦进入</w:t>
      </w:r>
      <w:r>
        <w:rPr>
          <w:rFonts w:hint="eastAsia" w:ascii="Times New Roman" w:hAnsi="Times New Roman" w:eastAsia="FangSong" w:cs="Times New Roman"/>
          <w:b/>
          <w:bCs/>
        </w:rPr>
        <w:t xml:space="preserve">手性环境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酶的活性中心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手性受体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两者的反应速率与产物就不再相同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这正是手性拆分的化学依据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旋光方向属于</w:t>
      </w: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对映体在非手性环境中化学性质相同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旋光方向相反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kcal/mol；</w:t>
      </w:r>
      <w:r>
        <w:rPr>
          <w:rFonts w:hint="eastAsia" w:ascii="Times New Roman" w:hAnsi="Times New Roman" w:eastAsia="FangSong" w:cs="Times New Roman"/>
        </w:rPr>
        <w:t>换算为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 xml:space="preserve">需乘以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4.184，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1.74 kcal/mol ≈ 7.3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9908"/>
            <wp:effectExtent b="0" l="0" r="0" t="0"/>
            <wp:docPr descr="羧酸根的两个等价极限式（共振杂化体）" title="" id="32" name="Picture"/>
            <a:graphic>
              <a:graphicData uri="http://schemas.openxmlformats.org/drawingml/2006/picture">
                <pic:pic>
                  <pic:nvPicPr>
                    <pic:cNvPr descr="7562fc487fbc3fb3dd66d7c7aa2e528e9ea98bfaf3ddde424ff52ffe17db579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羧酸根的两个等价极限式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C–O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键完全等价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1.5），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负电荷在两个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上等分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两者用双箭头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⟷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真实结构是二者的共振杂化体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烯炔共存时的位次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tie-break：</w:t>
      </w:r>
      <w:r>
        <w:rPr>
          <w:rFonts w:hint="eastAsia" w:ascii="Times New Roman" w:hAnsi="Times New Roman" w:eastAsia="FangSong" w:cs="Times New Roman"/>
        </w:rPr>
        <w:t>当从两端编号得到的位次组合相同时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例如双键在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叁键在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两端编号都得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{1,4}），</w:t>
      </w:r>
      <w:r>
        <w:rPr>
          <w:rFonts w:hint="eastAsia" w:ascii="Times New Roman" w:hAnsi="Times New Roman" w:eastAsia="FangSong" w:cs="Times New Roman"/>
        </w:rPr>
        <w:t>规定给</w:t>
      </w:r>
      <w:r>
        <w:rPr>
          <w:rFonts w:hint="eastAsia" w:ascii="Times New Roman" w:hAnsi="Times New Roman" w:eastAsia="FangSong" w:cs="Times New Roman"/>
          <w:b/>
          <w:bCs/>
        </w:rPr>
        <w:t xml:space="preserve">双键</w:t>
      </w:r>
      <w:r>
        <w:rPr>
          <w:rFonts w:hint="eastAsia" w:ascii="Times New Roman" w:hAnsi="Times New Roman" w:eastAsia="FangSong" w:cs="Times New Roman"/>
        </w:rPr>
        <w:t>较低的编号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故写作</w:t>
      </w:r>
      <w:r>
        <w:rPr>
          <w:rFonts w:hint="eastAsia" w:ascii="Times New Roman" w:hAnsi="Times New Roman" w:eastAsia="FangSong" w:cs="Times New Roman"/>
          <w:b/>
          <w:bCs/>
        </w:rPr>
        <w:t>戊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而不是戊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7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7"/>
    <w:bookmarkStart w:id="38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按规则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FangSong" w:cs="Times New Roman"/>
          <w:b/>
          <w:bCs/>
        </w:rPr>
        <w:t xml:space="preserve">直接相连原子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&gt; O(8) &gt; N(7)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视作原子序数为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的虚拟原子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正确次序为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-F &gt; -OH &gt; -NH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氮上孤对电子排在最不优先位置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</w:t>
      </w:r>
      <w:r>
        <w:rPr>
          <w:rFonts w:hint="eastAsia" w:ascii="Times New Roman" w:hAnsi="Times New Roman" w:eastAsia="FangSong" w:cs="Times New Roman"/>
          <w:b/>
          <w:bCs/>
        </w:rPr>
        <w:t xml:space="preserve">多维语言</w:t>
      </w:r>
      <w:r>
        <w:rPr>
          <w:rFonts w:hint="eastAsia" w:ascii="Times New Roman" w:hAnsi="Times New Roman" w:eastAsia="FangSong" w:cs="Times New Roman"/>
        </w:rPr>
        <w:t>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下面这套</w:t>
      </w:r>
      <w:r>
        <w:rPr>
          <w:rFonts w:hint="eastAsia" w:ascii="Times New Roman" w:hAnsi="Times New Roman" w:eastAsia="FangSong" w:cs="Times New Roman"/>
          <w:b/>
          <w:bCs/>
        </w:rPr>
        <w:t xml:space="preserve">多维解释语言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共五条子线索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pKa </w:t>
      </w:r>
      <w:r>
        <w:rPr>
          <w:rFonts w:hint="eastAsia" w:ascii="Times New Roman" w:hAnsi="Times New Roman" w:eastAsia="FangSong" w:cs="Times New Roman"/>
        </w:rPr>
        <w:t>由大到小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酸性由弱到强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异构体数目判断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异构体数目判断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中心季碳的四个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键已占满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无多余的价键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且邻位无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可供消除成键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rs构型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不是线性叠加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</w:t>
      </w:r>
      <w:r>
        <w:rPr>
          <w:rFonts w:ascii="Times New Roman" w:hAnsi="Times New Roman" w:eastAsia="Times New Roman" w:cs="Times New Roman"/>
        </w:rPr>
        <w:t xml:space="preserve"> 4.76 →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Times New Roman" w:cs="Times New Roman"/>
        </w:rPr>
        <w:t>2.86（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下降约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1.9）；Cl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CHCOOH</w:t>
      </w:r>
      <w:r>
        <w:rPr>
          <w:rFonts w:ascii="Times New Roman" w:hAnsi="Times New Roman" w:eastAsia="Times New Roman" w:cs="Times New Roman"/>
        </w:rPr>
        <w:t xml:space="preserve"> 1.29、Cl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CCOOH </w:t>
      </w:r>
      <w:r>
        <w:rPr>
          <w:rFonts w:hint="eastAsia" w:ascii="Times New Roman" w:hAnsi="Times New Roman" w:eastAsia="Times New Roman" w:cs="Times New Roman"/>
        </w:rPr>
        <w:t>0.66（</w:t>
      </w:r>
      <w:r>
        <w:rPr>
          <w:rFonts w:hint="eastAsia" w:ascii="Times New Roman" w:hAnsi="Times New Roman" w:eastAsia="FangSong" w:cs="Times New Roman"/>
        </w:rPr>
        <w:t>后续每个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的降幅依次收窄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因诱导效应随饱和程度增加而衰减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手性与内消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手性与内消旋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诱导与共轭的竞争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诱导与共轭的竞争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共轭效应的贯穿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共轭效应的贯穿性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9"/>
    <w:bookmarkStart w:id="5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F&gt;Cl&gt;Br&gt;I；</w:t>
            </w:r>
            <w:r>
              <w:rPr>
                <w:rFonts w:hint="eastAsia" w:ascii="Times New Roman" w:hAnsi="Times New Roman" w:eastAsia="FangSong" w:cs="Times New Roman"/>
              </w:rPr>
              <w:t>吸电子能力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53"/>
    <w:bookmarkStart w:id="5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54"/>
    <w:bookmarkStart w:id="5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—H、—OH、—CH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、—C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四个不同基团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不能一概而论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丁二醇共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——(2R,3S)/(2S,3R)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）；(2R,3R)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(2S,3S) </w:t>
      </w:r>
      <w:r>
        <w:rPr>
          <w:rFonts w:hint="eastAsia" w:ascii="Times New Roman" w:hAnsi="Times New Roman" w:eastAsia="FangSong" w:cs="Times New Roman"/>
        </w:rPr>
        <w:t>则是一对对映体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若题目未指定构型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需分情况作答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二氯丙二烯为丙二烯型轴手性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两端各连</w:t>
      </w:r>
      <w:r>
        <w:rPr>
          <w:rFonts w:ascii="Times New Roman" w:hAnsi="Times New Roman" w:eastAsia="Times New Roman" w:cs="Times New Roman"/>
        </w:rPr>
        <w:t xml:space="preserve"> H/Cl </w:t>
      </w:r>
      <w:r>
        <w:rPr>
          <w:rFonts w:hint="eastAsia" w:ascii="Times New Roman" w:hAnsi="Times New Roman" w:eastAsia="FangSong" w:cs="Times New Roman"/>
        </w:rPr>
        <w:t>两个不同基团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两端平面互相垂直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见键线式标准画法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是等价位置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个构型组合会两两归并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C2、C4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构型相同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上两条</w:t>
      </w:r>
      <w:r>
        <w:rPr>
          <w:rFonts w:ascii="Times New Roman" w:hAnsi="Times New Roman" w:eastAsia="Times New Roman" w:cs="Times New Roman"/>
        </w:rPr>
        <w:t xml:space="preserve"> —CHClCH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侧链完全相同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同构型</w:t>
      </w:r>
      <w:r>
        <w:rPr>
          <w:rFonts w:hint="eastAsia" w:ascii="Times New Roman" w:hAnsi="Times New Roman" w:eastAsia="Times New Roman" w:cs="Times New Roman"/>
        </w:rPr>
        <w:t>），C3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连了两个相同基团而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只得</w:t>
      </w:r>
      <w:r>
        <w:rPr>
          <w:rFonts w:ascii="Times New Roman" w:hAnsi="Times New Roman" w:eastAsia="Times New Roman" w:cs="Times New Roman"/>
        </w:rPr>
        <w:t xml:space="preserve"> (2R,4R)/(2S,4S)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一对对映体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C2、C4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构型相反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分子出现对称面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</w:t>
      </w:r>
      <w:r>
        <w:rPr>
          <w:rFonts w:ascii="Times New Roman" w:hAnsi="Times New Roman" w:eastAsia="Times New Roman" w:cs="Times New Roman"/>
        </w:rPr>
        <w:t xml:space="preserve"> C3—H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C3—Cl </w:t>
      </w:r>
      <w:r>
        <w:rPr>
          <w:rFonts w:hint="eastAsia" w:ascii="Times New Roman" w:hAnsi="Times New Roman" w:eastAsia="FangSong" w:cs="Times New Roman"/>
        </w:rPr>
        <w:t xml:space="preserve">且平分</w:t>
      </w:r>
      <w:r>
        <w:rPr>
          <w:rFonts w:ascii="Times New Roman" w:hAnsi="Times New Roman" w:eastAsia="Times New Roman" w:cs="Times New Roman"/>
        </w:rPr>
        <w:t xml:space="preserve"> C2—C3—C4 </w:t>
      </w:r>
      <w:r>
        <w:rPr>
          <w:rFonts w:hint="eastAsia" w:ascii="Times New Roman" w:hAnsi="Times New Roman" w:eastAsia="FangSong" w:cs="Times New Roman"/>
        </w:rPr>
        <w:t>角的平面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的两条侧链互为对映关系</w:t>
      </w:r>
      <w:r>
        <w:rPr>
          <w:rFonts w:hint="eastAsia" w:ascii="Times New Roman" w:hAnsi="Times New Roman" w:eastAsia="Times New Roman" w:cs="Times New Roman"/>
        </w:rPr>
        <w:t>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假手性中心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用小写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→ (2R,3r,4S)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(2R,3s,4S)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两个不同的内消旋体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合计</w:t>
      </w:r>
      <w:r>
        <w:rPr>
          <w:rFonts w:ascii="Times New Roman" w:hAnsi="Times New Roman" w:eastAsia="Times New Roman" w:cs="Times New Roman"/>
        </w:rPr>
        <w:t xml:space="preserve"> 2 + 2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环辛烯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不饱和度</w:t>
      </w:r>
      <w:r>
        <w:rPr>
          <w:rFonts w:ascii="Times New Roman" w:hAnsi="Times New Roman" w:eastAsia="Times New Roman" w:cs="Times New Roman"/>
        </w:rPr>
        <w:t xml:space="preserve"> Ω = (2×8 + 2 − 14)/2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加氢只耗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说明其中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Ω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C=C，</w:t>
      </w:r>
      <w:r>
        <w:rPr>
          <w:rFonts w:hint="eastAsia" w:ascii="Times New Roman" w:hAnsi="Times New Roman" w:eastAsia="FangSong" w:cs="Times New Roman"/>
          <w:b/>
          <w:bCs/>
        </w:rPr>
        <w:t xml:space="preserve">另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个必为环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双键在环上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且双键两个碳各连一个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环辛烯的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cis/trans）；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一氯代物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正好对应环辛烯的四类氢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烯氢</w:t>
      </w:r>
      <w:r>
        <w:rPr>
          <w:rFonts w:hint="eastAsia" w:ascii="Times New Roman" w:hAnsi="Times New Roman" w:eastAsia="Times New Roman" w:cs="Times New Roman"/>
        </w:rPr>
        <w:t>（C1/C2）、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（C3/C8）、</w:t>
      </w:r>
      <w:r>
        <w:rPr>
          <w:rFonts w:hint="eastAsia" w:ascii="Times New Roman" w:hAnsi="Times New Roman" w:eastAsia="FangSong" w:cs="Times New Roman"/>
        </w:rPr>
        <w:t>间隔一位</w:t>
      </w:r>
      <w:r>
        <w:rPr>
          <w:rFonts w:hint="eastAsia" w:ascii="Times New Roman" w:hAnsi="Times New Roman" w:eastAsia="Times New Roman" w:cs="Times New Roman"/>
        </w:rPr>
        <w:t>（C4/C7）、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（C5/C6）——</w:t>
      </w:r>
      <w:r>
        <w:rPr>
          <w:rFonts w:hint="eastAsia" w:ascii="Times New Roman" w:hAnsi="Times New Roman" w:eastAsia="FangSong" w:cs="Times New Roman"/>
        </w:rPr>
        <w:t>由过双键中点与</w:t>
      </w:r>
      <w:r>
        <w:rPr>
          <w:rFonts w:ascii="Times New Roman" w:hAnsi="Times New Roman" w:eastAsia="Times New Roman" w:cs="Times New Roman"/>
        </w:rPr>
        <w:t xml:space="preserve"> C5—C6 </w:t>
      </w:r>
      <w:r>
        <w:rPr>
          <w:rFonts w:hint="eastAsia" w:ascii="Times New Roman" w:hAnsi="Times New Roman" w:eastAsia="FangSong" w:cs="Times New Roman"/>
        </w:rPr>
        <w:t>中点的二重对称轴两两等效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加氢产物为环辛烷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与题干自洽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甲基环庚烯虽同样满足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但其氢的种类远多于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故排除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57"/>
    <w:bookmarkEnd w:id="5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1"/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18" Type="http://schemas.openxmlformats.org/officeDocument/2006/relationships/image" Target="media/rId18.jpg"/><Relationship Id="rId31" Type="http://schemas.openxmlformats.org/officeDocument/2006/relationships/image" Target="media/rId31.pn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2026-09-19T23:35:14Z</dcterms:created>
  <dcterms:modified xsi:type="dcterms:W3CDTF">2026-09-19T23:35:14Z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