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FangSong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FangSong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FangSong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FangSong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FangSong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FangSong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的定量变化解释同周期元素性质的递变规律</w: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FangSong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因此最外层电子能量如此之高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体系能量显著降低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FangSong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FangSong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FangSong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1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1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 xml:space="preserve">求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</w:t>
      </w:r>
      <m:oMath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2026-09-19T04:35:24Z</dcterms:created>
  <dcterms:modified xsi:type="dcterms:W3CDTF">2026-09-19T04:35:24Z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