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</w:t>
      </w:r>
      <w:r>
        <w:rPr>
          <w:rFonts w:hint="eastAsia" w:ascii="Times New Roman" w:hAnsi="Times New Roman" w:eastAsia="Times New Roman" w:cs="Times New Roman"/>
        </w:rPr>
        <w:t>(4n+2)</w:t>
      </w:r>
      <w:r>
        <w:rPr>
          <w:rFonts w:hint="eastAsia" w:ascii="Times New Roman" w:hAnsi="Times New Roman" w:eastAsia="FangSong" w:cs="Times New Roman"/>
        </w:rPr>
        <w:t>判断芳香性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的稳定性解释芳香亲电取代的定位效应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FangSong" w:cs="Times New Roman"/>
        </w:rPr>
        <w:t>的反应条件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立体化学和竞争反应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能通过反应条件判断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 xml:space="preserve">的主导路径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能用格氏试剂设计简单的碳链增长路线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能区分芳香亲核取代两种机理</w:t>
      </w:r>
      <w:r>
        <w:rPr>
          <w:rFonts w:hint="eastAsia" w:ascii="Times New Roman" w:hAnsi="Times New Roman" w:eastAsia="Times New Roman" w:cs="Times New Roman"/>
        </w:rPr>
        <w:t>（SNAr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苯炔消除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并判断产物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Ar-H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(H)E(Wheland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Ar-E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决定因素是底物结构</w:t>
      </w:r>
      <w:r>
        <w:rPr>
          <w:rFonts w:hint="eastAsia" w:ascii="Times New Roman" w:hAnsi="Times New Roman" w:eastAsia="Times New Roman" w:cs="Times New Roman"/>
        </w:rPr>
        <w:t>(3°→SN1,</w:t>
      </w:r>
      <w:r>
        <w:rPr>
          <w:rFonts w:ascii="Times New Roman" w:hAnsi="Times New Roman" w:eastAsia="Times New Roman" w:cs="Times New Roman"/>
        </w:rPr>
        <w:t xml:space="preserve"> 1°→SN2)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其次是离去基团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都有利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再次是溶剂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质子溶剂</w:t>
      </w:r>
      <w:r>
        <w:rPr>
          <w:rFonts w:hint="eastAsia" w:ascii="Times New Roman" w:hAnsi="Times New Roman" w:eastAsia="Times New Roman" w:cs="Times New Roman"/>
        </w:rPr>
        <w:t>→SN1,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最后是亲核试剂强度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芳香亲电取代定位效应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消除反应的区域选择性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2026-09-19T04:37:13Z</dcterms:created>
  <dcterms:modified xsi:type="dcterms:W3CDTF">2026-09-19T04:37:13Z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