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Lambert-Beer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测定条件与偏离原因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显色反应与标准曲线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灵敏度与方法原理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配标准系列</w:t>
      </w:r>
      <w:r>
        <w:rPr>
          <w:rFonts w:hint="eastAsia" w:ascii="Times New Roman" w:hAnsi="Times New Roman" w:eastAsia="Times New Roman" w:cs="Times New Roman"/>
        </w:rPr>
        <w:t>（4-6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A（0.2-0.8）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相同显色条件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查浓度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2026-09-19T06:47:05Z</dcterms:created>
  <dcterms:modified xsi:type="dcterms:W3CDTF">2026-09-19T06:47:05Z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