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酸碱理论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Brønsted </w:t>
            </w:r>
            <w:r>
              <w:rPr>
                <w:rFonts w:hint="eastAsia" w:ascii="Times New Roman" w:hAnsi="Times New Roman" w:eastAsia="FangSong" w:cs="Times New Roman"/>
              </w:rPr>
              <w:t>质子理论识别酸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碱和两性物质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写出共轭酸碱对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弱酸弱碱电离平衡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能正确书写弱酸弱碱的电离平衡表达式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Ka · Kb = Kw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pH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能用简化公式和精确法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验证法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计算弱酸弱碱溶液的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两性物质与缓冲溶液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能计算两性物质溶液的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pH（NaHCO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、NaH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并建立氨基酸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等电点的初步认识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能设计和计算缓冲溶液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Henderson-Hasselbalch </w:t>
            </w:r>
            <w:r>
              <w:rPr>
                <w:rFonts w:hint="eastAsia" w:ascii="Times New Roman" w:hAnsi="Times New Roman" w:eastAsia="FangSong" w:cs="Times New Roman"/>
              </w:rPr>
              <w:t xml:space="preserve">方程的适用条件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酸碱与软硬酸碱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酸碱理论和</w:t>
            </w:r>
            <w:r>
              <w:rPr>
                <w:rFonts w:ascii="Times New Roman" w:hAnsi="Times New Roman" w:eastAsia="Times New Roman" w:cs="Times New Roman"/>
              </w:rPr>
              <w:t xml:space="preserve"> HSAB </w:t>
            </w:r>
            <w:r>
              <w:rPr>
                <w:rFonts w:hint="eastAsia" w:ascii="Times New Roman" w:hAnsi="Times New Roman" w:eastAsia="FangSong" w:cs="Times New Roman"/>
              </w:rPr>
              <w:t xml:space="preserve">软硬分类的基本规则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拉平效应与区分效应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了解溶剂理论中的拉平效应和区分效应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A</m:t>
        </m:r>
        <m:r>
          <m:rPr>
            <m:sty m:val="p"/>
          </m:rPr>
          <m:t>/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37°C（</w:t>
      </w:r>
      <w:r>
        <w:rPr>
          <w:rFonts w:hint="eastAsia" w:ascii="Times New Roman" w:hAnsi="Times New Roman" w:eastAsia="FangSong" w:cs="Times New Roman"/>
          <w:b/>
          <w:bCs/>
        </w:rPr>
        <w:t>体温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ascii="Times New Roman" w:hAnsi="Times New Roman" w:eastAsia="Times New Roman" w:cs="Times New Roman"/>
          <w:b/>
          <w:bCs/>
        </w:rPr>
        <w:t xml:space="preserve"> Kw = 2.42 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(0.10 − 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2.5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这个公式之所以格外适合缓冲液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</w:t>
      </w:r>
      <m:oMath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都表现为强酸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pH − pKa = 5.00 − 4.76 = 0.24。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⁻</m:t>
        </m:r>
        <m:r>
          <m:rPr>
            <m:sty m:val="p"/>
          </m:rPr>
          <m:t>³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(0.10−x)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0.083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溶剂的共轭酸是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9.25），</w:t>
      </w:r>
      <w:r>
        <w:rPr>
          <w:rFonts w:hint="eastAsia" w:ascii="Times New Roman" w:hAnsi="Times New Roman" w:eastAsia="FangSong" w:cs="Times New Roman"/>
        </w:rPr>
        <w:t>比水溶液中的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凡是酸性明显强于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连在水中的弱酸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HAc（pKa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4.76）</w:t>
      </w:r>
      <w:r>
        <w:rPr>
          <w:rFonts w:hint="eastAsia" w:ascii="Times New Roman" w:hAnsi="Times New Roman" w:eastAsia="FangSong" w:cs="Times New Roman"/>
        </w:rPr>
        <w:t>也远强于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都会把质子</w:t>
      </w:r>
      <w:r>
        <w:rPr>
          <w:rFonts w:hint="eastAsia" w:ascii="Times New Roman" w:hAnsi="Times New Roman" w:eastAsia="FangSong" w:cs="Times New Roman"/>
          <w:b/>
          <w:bCs/>
        </w:rPr>
        <w:t xml:space="preserve">完全</w:t>
      </w:r>
      <w:r>
        <w:rPr>
          <w:rFonts w:hint="eastAsia" w:ascii="Times New Roman" w:hAnsi="Times New Roman" w:eastAsia="FangSong" w:cs="Times New Roman"/>
        </w:rPr>
        <w:t xml:space="preserve">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因此都表现为强酸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拉平范围比水更宽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溶剂碱性越强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能区分的酸越少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值相邻均差约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2.15：H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- 2.15 &lt; pH &lt; </w:t>
      </w:r>
      <w:r>
        <w:rPr>
          <w:rFonts w:hint="eastAsia" w:ascii="Times New Roman" w:hAnsi="Times New Roman" w:eastAsia="Times New Roman" w:cs="Times New Roman"/>
        </w:rPr>
        <w:t>7.20：H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- 7.20 &lt; pH &lt; </w:t>
      </w:r>
      <w:r>
        <w:rPr>
          <w:rFonts w:hint="eastAsia" w:ascii="Times New Roman" w:hAnsi="Times New Roman" w:eastAsia="Times New Roman" w:cs="Times New Roman"/>
        </w:rPr>
        <w:t>12.38：HPO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12.38：PO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7.40</m:t>
            </m:r>
            <m:r>
              <m:rPr>
                <m:sty m:val="p"/>
              </m:rPr>
              <m:t>−</m:t>
            </m:r>
            <m:r>
              <m:t>6.10</m:t>
            </m:r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2026-09-20T10:08:43Z</dcterms:created>
  <dcterms:modified xsi:type="dcterms:W3CDTF">2026-09-20T10:08:43Z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