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理论演进与化学本质</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Arrhenius、Brønsted-Lowry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三套酸碱定义的内涵与边界</w:t>
            </w:r>
            <w:r>
              <w:rPr>
                <w:rFonts w:hint="eastAsia" w:ascii="Times New Roman" w:hAnsi="Times New Roman" w:eastAsia="Times New Roman" w:cs="Times New Roman"/>
              </w:rPr>
              <w:t>，</w:t>
            </w:r>
            <w:r>
              <w:rPr>
                <w:rFonts w:hint="eastAsia" w:ascii="Times New Roman" w:hAnsi="Times New Roman" w:eastAsia="FangSong" w:cs="Times New Roman"/>
              </w:rPr>
              <w:t>用共轭酸碱对判断质子传递方向</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与前线轨道解释配位选择性</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质子传递热力学与活度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与共轭酸碱对</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关系完成定量换算</w:t>
            </w:r>
            <w:r>
              <w:rPr>
                <w:rFonts w:hint="eastAsia" w:ascii="Times New Roman" w:hAnsi="Times New Roman" w:eastAsia="Times New Roman" w:cs="Times New Roman"/>
              </w:rPr>
              <w:t>，</w:t>
            </w:r>
            <w:r>
              <w:rPr>
                <w:rFonts w:hint="eastAsia" w:ascii="Times New Roman" w:hAnsi="Times New Roman" w:eastAsia="FangSong" w:cs="Times New Roman"/>
              </w:rPr>
              <w:t>说明离子强度对活度系数与表观离解常数的影响</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三大守恒方程</w:t>
            </w:r>
          </w:p>
        </w:tc>
        <w:tc>
          <w:tcPr/>
          <w:p>
            <w:pPr>
              <w:pStyle w:val="Compact"/>
              <w:jc w:val="center"/>
            </w:pPr>
            <w:r>
              <w:rPr>
                <w:rFonts w:hint="eastAsia" w:ascii="Times New Roman" w:hAnsi="Times New Roman" w:eastAsia="FangSong" w:cs="Times New Roman"/>
              </w:rPr>
              <w:t>熟练写出物料守恒</w:t>
            </w:r>
            <w:r>
              <w:rPr>
                <w:rFonts w:hint="eastAsia" w:ascii="Times New Roman" w:hAnsi="Times New Roman" w:eastAsia="Times New Roman" w:cs="Times New Roman"/>
              </w:rPr>
              <w:t>（MBE）、</w:t>
            </w:r>
            <w:r>
              <w:rPr>
                <w:rFonts w:hint="eastAsia" w:ascii="Times New Roman" w:hAnsi="Times New Roman" w:eastAsia="FangSong" w:cs="Times New Roman"/>
              </w:rPr>
              <w:t>电荷守恒</w:t>
            </w:r>
            <w:r>
              <w:rPr>
                <w:rFonts w:hint="eastAsia" w:ascii="Times New Roman" w:hAnsi="Times New Roman" w:eastAsia="Times New Roman" w:cs="Times New Roman"/>
              </w:rPr>
              <w:t>（CBE）</w:t>
            </w:r>
            <w:r>
              <w:rPr>
                <w:rFonts w:hint="eastAsia" w:ascii="Times New Roman" w:hAnsi="Times New Roman" w:eastAsia="FangSong" w:cs="Times New Roman"/>
              </w:rPr>
              <w:t>与质子条件式</w:t>
            </w:r>
            <w:r>
              <w:rPr>
                <w:rFonts w:hint="eastAsia" w:ascii="Times New Roman" w:hAnsi="Times New Roman" w:eastAsia="Times New Roman" w:cs="Times New Roman"/>
              </w:rPr>
              <w:t>（PBE），</w:t>
            </w:r>
            <w:r>
              <w:rPr>
                <w:rFonts w:hint="eastAsia" w:ascii="Times New Roman" w:hAnsi="Times New Roman" w:eastAsia="FangSong" w:cs="Times New Roman"/>
              </w:rPr>
              <w:t>并由质子参考水准规范推导任意酸碱体系的</w:t>
            </w:r>
            <w:r>
              <w:rPr>
                <w:rFonts w:ascii="Times New Roman" w:hAnsi="Times New Roman" w:eastAsia="Times New Roman" w:cs="Times New Roman"/>
              </w:rPr>
              <w:t xml:space="preserve"> PBE</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型体分布分数</w:t>
            </w:r>
          </w:p>
        </w:tc>
        <w:tc>
          <w:tcPr/>
          <w:p>
            <w:pPr>
              <w:pStyle w:val="Compact"/>
              <w:jc w:val="center"/>
            </w:pPr>
            <w:r>
              <w:rPr>
                <w:rFonts w:hint="eastAsia" w:ascii="Times New Roman" w:hAnsi="Times New Roman" w:eastAsia="FangSong" w:cs="Times New Roman"/>
              </w:rPr>
              <w:t xml:space="preserve">推导一元与二元弱酸的分布分数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形态图并判定优势型体</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按一元</w:t>
            </w:r>
            <w:r>
              <w:rPr>
                <w:rFonts w:hint="eastAsia" w:ascii="Times New Roman" w:hAnsi="Times New Roman" w:eastAsia="Times New Roman" w:cs="Times New Roman"/>
              </w:rPr>
              <w:t>/</w:t>
            </w:r>
            <w:r>
              <w:rPr>
                <w:rFonts w:hint="eastAsia" w:ascii="Times New Roman" w:hAnsi="Times New Roman" w:eastAsia="FangSong" w:cs="Times New Roman"/>
              </w:rPr>
              <w:t>多元弱酸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两性物质与酸式盐分类选用精确式与近似式</w:t>
            </w:r>
            <w:r>
              <w:rPr>
                <w:rFonts w:hint="eastAsia" w:ascii="Times New Roman" w:hAnsi="Times New Roman" w:eastAsia="Times New Roman" w:cs="Times New Roman"/>
              </w:rPr>
              <w:t>，</w:t>
            </w:r>
            <w:r>
              <w:rPr>
                <w:rFonts w:hint="eastAsia" w:ascii="Times New Roman" w:hAnsi="Times New Roman" w:eastAsia="FangSong" w:cs="Times New Roman"/>
              </w:rPr>
              <w:t>正确执行最简判别条件</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缓冲溶液</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方程设计缓冲体系</w:t>
            </w:r>
            <w:r>
              <w:rPr>
                <w:rFonts w:hint="eastAsia" w:ascii="Times New Roman" w:hAnsi="Times New Roman" w:eastAsia="Times New Roman" w:cs="Times New Roman"/>
              </w:rPr>
              <w:t>，</w:t>
            </w:r>
            <w:r>
              <w:rPr>
                <w:rFonts w:hint="eastAsia" w:ascii="Times New Roman" w:hAnsi="Times New Roman" w:eastAsia="FangSong" w:cs="Times New Roman"/>
              </w:rPr>
              <w:t>理解缓冲容量的定义与极值条件</w:t>
            </w:r>
            <w:r>
              <w:rPr>
                <w:rFonts w:hint="eastAsia" w:ascii="Times New Roman" w:hAnsi="Times New Roman" w:eastAsia="Times New Roman" w:cs="Times New Roman"/>
              </w:rPr>
              <w:t>，</w:t>
            </w:r>
            <w:r>
              <w:rPr>
                <w:rFonts w:hint="eastAsia" w:ascii="Times New Roman" w:hAnsi="Times New Roman" w:eastAsia="FangSong" w:cs="Times New Roman"/>
              </w:rPr>
              <w:t>完成工程配制</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指示剂与滴定突跃</w:t>
            </w:r>
          </w:p>
        </w:tc>
        <w:tc>
          <w:tcPr/>
          <w:p>
            <w:pPr>
              <w:pStyle w:val="Compact"/>
              <w:jc w:val="center"/>
            </w:pPr>
            <w:r>
              <w:rPr>
                <w:rFonts w:hint="eastAsia" w:ascii="Times New Roman" w:hAnsi="Times New Roman" w:eastAsia="FangSong" w:cs="Times New Roman"/>
              </w:rPr>
              <w:t>解释指示剂变色机理</w:t>
            </w:r>
            <w:r>
              <w:rPr>
                <w:rFonts w:hint="eastAsia" w:ascii="Times New Roman" w:hAnsi="Times New Roman" w:eastAsia="Times New Roman" w:cs="Times New Roman"/>
              </w:rPr>
              <w:t>，</w:t>
            </w:r>
            <w:r>
              <w:rPr>
                <w:rFonts w:hint="eastAsia" w:ascii="Times New Roman" w:hAnsi="Times New Roman" w:eastAsia="FangSong" w:cs="Times New Roman"/>
              </w:rPr>
              <w:t>判断滴定突跃范围与指示剂的匹配关系</w:t>
            </w:r>
            <w:r>
              <w:rPr>
                <w:rFonts w:hint="eastAsia" w:ascii="Times New Roman" w:hAnsi="Times New Roman" w:eastAsia="Times New Roman" w:cs="Times New Roman"/>
              </w:rPr>
              <w:t>，</w:t>
            </w:r>
            <w:r>
              <w:rPr>
                <w:rFonts w:hint="eastAsia" w:ascii="Times New Roman" w:hAnsi="Times New Roman" w:eastAsia="FangSong" w:cs="Times New Roman"/>
              </w:rPr>
              <w:t>规范选择终点指示剂</w:t>
            </w:r>
          </w:p>
        </w:tc>
      </w:tr>
    </w:tbl>
    <w:p>
      <w:pPr>
        <w:spacing w:before="160" w:after="80"/>
      </w:pPr>
      <w:r>
        <w:pict>
          <v:rect style="width:0;height:1.5pt" o:hralign="center" o:hrstd="t" o:hr="t"/>
        </w:pict>
      </w:r>
    </w:p>
    <w:bookmarkEnd w:id="9"/>
    <w:bookmarkStart w:id="14"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10"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10"/>
    <w:bookmarkStart w:id="11"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1"/>
    <w:bookmarkStart w:id="12"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2"/>
    <w:bookmarkStart w:id="13"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两者能级极为接近且前线轨道重叠积分大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典型物种分类矩阵</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8"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5"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5"/>
    <w:bookmarkStart w:id="16"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FirstParagraph"/>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FirstParagraph"/>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FirstParagraph"/>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6"/>
    <w:bookmarkStart w:id="17"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2"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9"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9"/>
    <w:bookmarkStart w:id="20"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20"/>
    <w:bookmarkStart w:id="21"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1"/>
    <w:bookmarkEnd w:id="22"/>
    <w:bookmarkStart w:id="31"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6"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52780"/>
            <wp:effectExtent b="0" l="0" r="0" t="0"/>
            <wp:docPr descr="" title="" id="24" name="Picture"/>
            <a:graphic>
              <a:graphicData uri="http://schemas.openxmlformats.org/drawingml/2006/picture">
                <pic:pic>
                  <pic:nvPicPr>
                    <pic:cNvPr descr="13acbb805e1d32cbe0a73a2c3214cae6f0d4d0dff155c6f3a27aeaae35ed9204.jpg" id="25" name="Picture"/>
                    <pic:cNvPicPr>
                      <a:picLocks noChangeArrowheads="1" noChangeAspect="1"/>
                    </pic:cNvPicPr>
                  </pic:nvPicPr>
                  <pic:blipFill>
                    <a:blip r:embed="rId23"/>
                    <a:stretch>
                      <a:fillRect/>
                    </a:stretch>
                  </pic:blipFill>
                  <pic:spPr bwMode="auto">
                    <a:xfrm>
                      <a:off x="0" y="0"/>
                      <a:ext cx="2667000" cy="17527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bookmarkEnd w:id="26"/>
    <w:bookmarkStart w:id="30"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1848000"/>
            <wp:effectExtent b="0" l="0" r="0" t="0"/>
            <wp:docPr descr="" title="" id="28" name="Picture"/>
            <a:graphic>
              <a:graphicData uri="http://schemas.openxmlformats.org/drawingml/2006/picture">
                <pic:pic>
                  <pic:nvPicPr>
                    <pic:cNvPr descr="6dfcaaa8f7b2d6cc47bb72ea7e15aba22543223a6d108f24a599f16f5b9997fb.jpg" id="29" name="Picture"/>
                    <pic:cNvPicPr>
                      <a:picLocks noChangeArrowheads="1" noChangeAspect="1"/>
                    </pic:cNvPicPr>
                  </pic:nvPicPr>
                  <pic:blipFill>
                    <a:blip r:embed="rId27"/>
                    <a:stretch>
                      <a:fillRect/>
                    </a:stretch>
                  </pic:blipFill>
                  <pic:spPr bwMode="auto">
                    <a:xfrm>
                      <a:off x="0" y="0"/>
                      <a:ext cx="2667000" cy="18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曲线拓扑特征与三大特征交叉点解析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pStyle w:val="FirstParagraph"/>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8"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2"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pStyle w:val="FirstParagraph"/>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pStyle w:val="FirstParagraph"/>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pStyle w:val="Compact"/>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pStyle w:val="Compact"/>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pStyle w:val="Compact"/>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Compact"/>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pStyle w:val="Compact"/>
        <w:numPr>
          <w:ilvl w:val="0"/>
          <w:numId w:val="1002"/>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pStyle w:val="Compact"/>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32"/>
    <w:bookmarkStart w:id="36"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将二级电离压缩至极其微弱的程度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这是一个极为深刻的结论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34" name="Picture"/>
            <a:graphic>
              <a:graphicData uri="http://schemas.openxmlformats.org/drawingml/2006/picture">
                <pic:pic>
                  <pic:nvPicPr>
                    <pic:cNvPr descr="9b1408e8671e3f48a13809ab63adb861047fe3ae7f5c0855eaf9bbecbb67bcf5.jpg" id="35" name="Picture"/>
                    <pic:cNvPicPr>
                      <a:picLocks noChangeArrowheads="1" noChangeAspect="1"/>
                    </pic:cNvPicPr>
                  </pic:nvPicPr>
                  <pic:blipFill>
                    <a:blip r:embed="rId33"/>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bookmarkEnd w:id="36"/>
    <w:bookmarkStart w:id="37"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导出极其简洁的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pStyle w:val="FirstParagraph"/>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pStyle w:val="Compact"/>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2"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9"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9"/>
    <w:bookmarkStart w:id="40"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pStyle w:val="FirstParagraph"/>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40"/>
    <w:bookmarkStart w:id="41"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pStyle w:val="Compact"/>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Compact"/>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pStyle w:val="Compact"/>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缓冲稳定性极其优异</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Compact"/>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pStyle w:val="Compact"/>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质子浓度暴增了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41"/>
    <w:bookmarkEnd w:id="42"/>
    <w:bookmarkStart w:id="54"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9"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44" name="Picture"/>
                  <a:graphic>
                    <a:graphicData uri="http://schemas.openxmlformats.org/drawingml/2006/picture">
                      <pic:pic>
                        <pic:nvPicPr>
                          <pic:cNvPr descr="2bfaac3e54a3301f05d028bebb0f8406a6133f1eb1f6bb89febd9292e9ecbbd7.jpg" id="45" name="Picture"/>
                          <pic:cNvPicPr>
                            <a:picLocks noChangeArrowheads="1" noChangeAspect="1"/>
                          </pic:cNvPicPr>
                        </pic:nvPicPr>
                        <pic:blipFill>
                          <a:blip r:embed="rId43"/>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7" name="Picture"/>
                  <a:graphic>
                    <a:graphicData uri="http://schemas.openxmlformats.org/drawingml/2006/picture">
                      <pic:pic>
                        <pic:nvPicPr>
                          <pic:cNvPr descr="dcb2298c69a8cb2e3b74b02b6973e0245bab944c71864fa3e191a6a573b97aa2.jpg" id="48" name="Picture"/>
                          <pic:cNvPicPr>
                            <a:picLocks noChangeArrowheads="1" noChangeAspect="1"/>
                          </pic:cNvPicPr>
                        </pic:nvPicPr>
                        <pic:blipFill>
                          <a:blip r:embed="rId46"/>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常用酸碱指示剂变色机理对照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甲基橙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偶氮式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对醌式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酚酞</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内酯式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醌式</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常用酸碱指示剂变色参数</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9"/>
    <w:bookmarkStart w:id="53"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pStyle w:val="FirstParagraph"/>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3897"/>
            <wp:effectExtent b="0" l="0" r="0" t="0"/>
            <wp:docPr descr="" title="" id="51" name="Picture"/>
            <a:graphic>
              <a:graphicData uri="http://schemas.openxmlformats.org/drawingml/2006/picture">
                <pic:pic>
                  <pic:nvPicPr>
                    <pic:cNvPr descr="55d09c670c6315ba8ded7f541f1ddb11d95aa3e23f4fa8cc97ba29deaf8f8919.jpg" id="52" name="Picture"/>
                    <pic:cNvPicPr>
                      <a:picLocks noChangeArrowheads="1" noChangeAspect="1"/>
                    </pic:cNvPicPr>
                  </pic:nvPicPr>
                  <pic:blipFill>
                    <a:blip r:embed="rId50"/>
                    <a:stretch>
                      <a:fillRect/>
                    </a:stretch>
                  </pic:blipFill>
                  <pic:spPr bwMode="auto">
                    <a:xfrm>
                      <a:off x="0" y="0"/>
                      <a:ext cx="2667000" cy="3023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3"/>
    <w:bookmarkEnd w:id="54"/>
    <w:bookmarkStart w:id="57" w:name="核心公式速查与常见失分陷阱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核心公式速查与常见失分陷阱辨析</w:t>
      </w:r>
    </w:p>
    <w:bookmarkStart w:id="55" w:name="酸碱平衡核心模型与计算公式速查gbt-学术三线表"/>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酸碱平衡核心模型与计算公式速查</w:t>
      </w:r>
      <w:r>
        <w:rPr>
          <w:rFonts w:hint="eastAsia" w:ascii="Times New Roman" w:hAnsi="Times New Roman" w:eastAsia="Times New Roman" w:cs="Times New Roman"/>
        </w:rPr>
        <w:t>（GB/T</w:t>
      </w:r>
      <w:r>
        <w:rPr>
          <w:rFonts w:ascii="Times New Roman" w:hAnsi="Times New Roman" w:eastAsia="Times New Roman" w:cs="Times New Roman"/>
        </w:rPr>
        <w:t xml:space="preserve"> </w:t>
      </w:r>
      <w:r>
        <w:rPr>
          <w:rFonts w:hint="eastAsia" w:ascii="Times New Roman" w:hAnsi="Times New Roman" w:eastAsia="SimHei" w:cs="Times New Roman"/>
        </w:rPr>
        <w:t>学术三线表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5"/>
    <w:bookmarkStart w:id="56" w:name="酸碱平衡常见失分陷阱与认知冲突辨析"/>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酸碱平衡常见失分陷阱与认知冲突辨析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常见思维误区与错误写法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严密物理化学真实本质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理论根源与纠错要点</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m:oMath>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的溶液必定呈中性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中性的唯一物理标准为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w</m:t>
                      </m:r>
                    </m:sub>
                  </m:sSub>
                </m:e>
              </m:rad>
            </m:oMath>
          </w:p>
        </w:tc>
        <w:tc>
          <w:tcPr/>
          <w:p>
            <w:pPr>
              <w:pStyle w:val="Compact"/>
              <w:jc w:val="center"/>
            </w:pP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随温度升高单调增大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m:oMath>
              <m:sSub>
                <m:e>
                  <m:r>
                    <m:t>K</m:t>
                  </m:r>
                </m:e>
                <m:sub>
                  <m:r>
                    <m:t>w</m:t>
                  </m:r>
                </m:sub>
              </m:sSub>
              <m:r>
                <m:rPr>
                  <m:sty m:val="p"/>
                </m:rPr>
                <m:t>=</m:t>
              </m: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若此时</w:t>
            </w:r>
            <w:r>
              <w:rPr>
                <w:rFonts w:ascii="Times New Roman" w:hAnsi="Times New Roman" w:eastAsia="Times New Roman" w:cs="Times New Roman"/>
              </w:rPr>
              <w:t xml:space="preserve"> </w:t>
            </w:r>
            <m:oMath>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则显强碱性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酸式盐水溶液必定呈现酸性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酸式盐显酸性还是碱性取决于酸式离子的电离倾向与水解倾向之比</w:t>
            </w:r>
          </w:p>
        </w:tc>
        <w:tc>
          <w:tcPr/>
          <w:p>
            <w:pPr>
              <w:pStyle w:val="Compact"/>
              <w:jc w:val="cente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K</m:t>
                  </m:r>
                </m:e>
                <m:sub>
                  <m:r>
                    <m:t>b</m:t>
                  </m:r>
                  <m:r>
                    <m:t>2</m:t>
                  </m:r>
                </m:sub>
              </m:sSub>
              <m:r>
                <m:rPr>
                  <m:sty m:val="p"/>
                </m:rPr>
                <m:t>(</m:t>
              </m:r>
              <m:r>
                <m:t>2.4</m:t>
              </m:r>
              <m:r>
                <m:rPr>
                  <m:sty m:val="p"/>
                </m:rPr>
                <m:t>×</m:t>
              </m:r>
              <m:sSup>
                <m:e>
                  <m:r>
                    <m:t>10</m:t>
                  </m:r>
                </m:e>
                <m:sup>
                  <m:r>
                    <m:rPr>
                      <m:sty m:val="p"/>
                    </m:rPr>
                    <m:t>−</m:t>
                  </m:r>
                  <m:r>
                    <m:t>8</m:t>
                  </m:r>
                </m:sup>
              </m:sSup>
              <m:r>
                <m:rPr>
                  <m:sty m:val="p"/>
                </m:rPr>
                <m:t>)</m:t>
              </m:r>
              <m:r>
                <m:rPr>
                  <m:sty m:val="p"/>
                </m:rPr>
                <m:t>&gt;</m:t>
              </m:r>
              <m:sSub>
                <m:e>
                  <m:r>
                    <m:t>K</m:t>
                  </m:r>
                </m:e>
                <m:sub>
                  <m:r>
                    <m:t>a</m:t>
                  </m:r>
                  <m:r>
                    <m:t>2</m:t>
                  </m:r>
                </m:sub>
              </m:sSub>
              <m:r>
                <m:rPr>
                  <m:sty m:val="p"/>
                </m:rPr>
                <m:t>(</m:t>
              </m:r>
              <m:r>
                <m:t>5.6</m:t>
              </m:r>
              <m:r>
                <m:rPr>
                  <m:sty m:val="p"/>
                </m:rPr>
                <m:t>×</m:t>
              </m:r>
              <m:sSup>
                <m:e>
                  <m:r>
                    <m:t>10</m:t>
                  </m:r>
                </m:e>
                <m:sup>
                  <m:r>
                    <m:rPr>
                      <m:sty m:val="p"/>
                    </m:rPr>
                    <m:t>−</m:t>
                  </m:r>
                  <m:r>
                    <m:t>11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水解占优显碱性</w:t>
            </w:r>
            <w:r>
              <w:rPr>
                <w:rFonts w:hint="eastAsia" w:ascii="Times New Roman" w:hAnsi="Times New Roman" w:eastAsia="Times New Roman" w:cs="Times New Roman"/>
              </w:rPr>
              <w:t>；</w:t>
            </w:r>
            <m:oMath>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中电离占优显酸性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多元弱酸二级电离产生的酸根浓度等于氢离子浓度的一半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在非极端稀溶液中</w:t>
            </w:r>
            <w:r>
              <w:rPr>
                <w:rFonts w:hint="eastAsia" w:ascii="Times New Roman" w:hAnsi="Times New Roman" w:eastAsia="Times New Roman" w:cs="Times New Roman"/>
              </w:rPr>
              <w:t>，</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大小无必然正比对应</w:t>
            </w:r>
          </w:p>
        </w:tc>
        <w:tc>
          <w:tcPr/>
          <w:p>
            <w:pPr>
              <w:pStyle w:val="Compact"/>
              <w:jc w:val="center"/>
            </w:pPr>
            <w:r>
              <w:rPr>
                <w:rFonts w:hint="eastAsia" w:ascii="Times New Roman" w:hAnsi="Times New Roman" w:eastAsia="FangSong" w:cs="Times New Roman"/>
              </w:rPr>
              <w:t>一级电离对二级电离产生极强同离子效应压制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表达式分子分母对消即导出此定则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两性酸式盐的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在任何浓度下都严格等于</w:t>
            </w:r>
            <w:r>
              <w:rPr>
                <w:rFonts w:ascii="Times New Roman" w:hAnsi="Times New Roman" w:eastAsia="Times New Roman" w:cs="Times New Roman"/>
              </w:rPr>
              <w:t xml:space="preserve"> </w:t>
            </w:r>
            <m:oMath>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极简算术平均式要求同时满足</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或溶液极其稀释时</w:t>
            </w:r>
            <w:r>
              <w:rPr>
                <w:rFonts w:hint="eastAsia" w:ascii="Times New Roman" w:hAnsi="Times New Roman" w:eastAsia="Times New Roman" w:cs="Times New Roman"/>
              </w:rPr>
              <w:t>，</w:t>
            </w:r>
            <w:r>
              <w:rPr>
                <w:rFonts w:hint="eastAsia" w:ascii="Times New Roman" w:hAnsi="Times New Roman" w:eastAsia="FangSong" w:cs="Times New Roman"/>
              </w:rPr>
              <w:t>必须使用分母修正公式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缓冲溶液在任何酸碱比例下都具备优异的抗酸碱缓冲能力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缓冲溶液的有效工作区间受制于</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t>1</m:t>
              </m:r>
            </m:oMath>
          </w:p>
        </w:tc>
        <w:tc>
          <w:tcPr/>
          <w:p>
            <w:pPr>
              <w:pStyle w:val="Compact"/>
              <w:jc w:val="center"/>
            </w:pPr>
            <w:r>
              <w:rPr>
                <w:rFonts w:hint="eastAsia" w:ascii="Times New Roman" w:hAnsi="Times New Roman" w:eastAsia="FangSong" w:cs="Times New Roman"/>
              </w:rPr>
              <w:t xml:space="preserve">当酸碱比超出</w:t>
            </w:r>
            <w:r>
              <w:rPr>
                <w:rFonts w:ascii="Times New Roman" w:hAnsi="Times New Roman" w:eastAsia="Times New Roman" w:cs="Times New Roman"/>
              </w:rPr>
              <w:t xml:space="preserve"> </w:t>
            </w:r>
            <m:oMath>
              <m:r>
                <m:t>1</m:t>
              </m:r>
              <m:r>
                <m:rPr>
                  <m:sty m:val="p"/>
                </m:rPr>
                <m:t>:</m:t>
              </m:r>
              <m:r>
                <m:t>10</m:t>
              </m:r>
              <m:r>
                <m:rPr>
                  <m:sty m:val="p"/>
                </m:rPr>
                <m:t>∼</m:t>
              </m:r>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发生急剧下降</w:t>
            </w:r>
            <w:r>
              <w:rPr>
                <w:rFonts w:hint="eastAsia" w:ascii="Times New Roman" w:hAnsi="Times New Roman" w:eastAsia="Times New Roman" w:cs="Times New Roman"/>
              </w:rPr>
              <w:t>，</w:t>
            </w:r>
            <w:r>
              <w:rPr>
                <w:rFonts w:hint="eastAsia" w:ascii="Times New Roman" w:hAnsi="Times New Roman" w:eastAsia="FangSong" w:cs="Times New Roman"/>
              </w:rPr>
              <w:t>体系丧失对单向酸碱进攻的缓冲屏障</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滴定终点</w:t>
            </w:r>
            <w:r>
              <w:rPr>
                <w:rFonts w:hint="eastAsia" w:ascii="Times New Roman" w:hAnsi="Times New Roman" w:eastAsia="Times New Roman" w:cs="Times New Roman"/>
              </w:rPr>
              <w:t>（EP）</w:t>
            </w:r>
            <w:r>
              <w:rPr>
                <w:rFonts w:hint="eastAsia" w:ascii="Times New Roman" w:hAnsi="Times New Roman" w:eastAsia="FangSong" w:cs="Times New Roman"/>
              </w:rPr>
              <w:t>与理论化学计量点是完全相同的一个点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化学计量点是理论反应等当点</w:t>
            </w:r>
            <w:r>
              <w:rPr>
                <w:rFonts w:hint="eastAsia" w:ascii="Times New Roman" w:hAnsi="Times New Roman" w:eastAsia="Times New Roman" w:cs="Times New Roman"/>
              </w:rPr>
              <w:t>；</w:t>
            </w:r>
            <w:r>
              <w:rPr>
                <w:rFonts w:hint="eastAsia" w:ascii="Times New Roman" w:hAnsi="Times New Roman" w:eastAsia="FangSong" w:cs="Times New Roman"/>
              </w:rPr>
              <w:t>滴定终点是指示剂颜色突变停止点</w:t>
            </w:r>
          </w:p>
        </w:tc>
        <w:tc>
          <w:tcPr/>
          <w:p>
            <w:pPr>
              <w:pStyle w:val="Compact"/>
              <w:jc w:val="center"/>
            </w:pPr>
            <w:r>
              <w:rPr>
                <w:rFonts w:hint="eastAsia" w:ascii="Times New Roman" w:hAnsi="Times New Roman" w:eastAsia="FangSong" w:cs="Times New Roman"/>
              </w:rPr>
              <w:t xml:space="preserve">两者之间恒存在由于指示剂理论变色点偏离计量点引起的</w:t>
            </w:r>
            <w:r>
              <w:rPr>
                <w:rFonts w:hint="eastAsia" w:ascii="Times New Roman" w:hAnsi="Times New Roman" w:eastAsia="FangSong" w:cs="Times New Roman"/>
                <w:b/>
                <w:bCs/>
              </w:rPr>
              <w:t>滴定终点误差</w:t>
            </w:r>
            <w:r>
              <w:rPr>
                <w:rFonts w:hint="eastAsia" w:ascii="Times New Roman" w:hAnsi="Times New Roman" w:eastAsia="Times New Roman" w:cs="Times New Roman"/>
                <w:b/>
                <w:bCs/>
              </w:rPr>
              <w:t>（TE）</w:t>
            </w:r>
            <w:r>
              <w:rPr>
                <w:rFonts w:hint="eastAsia" w:ascii="Times New Roman" w:hAnsi="Times New Roman" w:eastAsia="Times New Roman" w:cs="Times New Roman"/>
              </w:rPr>
              <w:t>。</w:t>
            </w:r>
            <w:r>
              <w:rPr>
                <w:rFonts w:hint="eastAsia" w:ascii="Times New Roman" w:hAnsi="Times New Roman" w:eastAsia="FangSong" w:cs="Times New Roman"/>
              </w:rPr>
              <w:t>选用指示剂必须使变色范围覆盖计量点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指示剂的实际变色范围完全等于理论对称的</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实测变色范围受人眼对不同光谱波长敏感度差异与双色浓度比阈值调制</w:t>
            </w:r>
          </w:p>
        </w:tc>
        <w:tc>
          <w:tcPr/>
          <w:p>
            <w:pPr>
              <w:pStyle w:val="Compact"/>
              <w:jc w:val="center"/>
            </w:pPr>
            <w:r>
              <w:rPr>
                <w:rFonts w:hint="eastAsia" w:ascii="Times New Roman" w:hAnsi="Times New Roman" w:eastAsia="FangSong" w:cs="Times New Roman"/>
              </w:rPr>
              <w:t xml:space="preserve">甲基橙</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3.46</m:t>
              </m:r>
            </m:oMath>
            <w:r>
              <w:rPr>
                <w:rFonts w:hint="eastAsia" w:ascii="Times New Roman" w:hAnsi="Times New Roman" w:eastAsia="Times New Roman" w:cs="Times New Roman"/>
              </w:rPr>
              <w:t>，</w:t>
            </w:r>
            <w:r>
              <w:rPr>
                <w:rFonts w:hint="eastAsia" w:ascii="Times New Roman" w:hAnsi="Times New Roman" w:eastAsia="FangSong" w:cs="Times New Roman"/>
              </w:rPr>
              <w:t>人眼对红色比黄色敏感得多</w:t>
            </w:r>
            <w:r>
              <w:rPr>
                <w:rFonts w:hint="eastAsia" w:ascii="Times New Roman" w:hAnsi="Times New Roman" w:eastAsia="Times New Roman" w:cs="Times New Roman"/>
              </w:rPr>
              <w:t>，</w:t>
            </w:r>
            <w:r>
              <w:rPr>
                <w:rFonts w:hint="eastAsia" w:ascii="Times New Roman" w:hAnsi="Times New Roman" w:eastAsia="FangSong" w:cs="Times New Roman"/>
              </w:rPr>
              <w:t>因此红色仅需占很小比例即被感知</w:t>
            </w:r>
            <w:r>
              <w:rPr>
                <w:rFonts w:hint="eastAsia" w:ascii="Times New Roman" w:hAnsi="Times New Roman" w:eastAsia="Times New Roman" w:cs="Times New Roman"/>
              </w:rPr>
              <w:t>，</w:t>
            </w:r>
            <w:r>
              <w:rPr>
                <w:rFonts w:hint="eastAsia" w:ascii="Times New Roman" w:hAnsi="Times New Roman" w:eastAsia="FangSong" w:cs="Times New Roman"/>
              </w:rPr>
              <w:t>导致实测变色域为</w:t>
            </w:r>
            <w:r>
              <w:rPr>
                <w:rFonts w:ascii="Times New Roman" w:hAnsi="Times New Roman" w:eastAsia="Times New Roman" w:cs="Times New Roman"/>
              </w:rPr>
              <w:t xml:space="preserve"> </w:t>
            </w:r>
            <m:oMath>
              <m:r>
                <m:t>3.1</m:t>
              </m:r>
              <m:r>
                <m:rPr>
                  <m:sty m:val="p"/>
                </m:rPr>
                <m:t>∼</m:t>
              </m:r>
              <m:r>
                <m:t>4.4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软硬酸碱的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与经典酸碱强度</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软度描述的是电子云极化率与成键本质</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弱度描述的是质子或电子转移的热力学吉布斯自由能倾向</w:t>
            </w:r>
          </w:p>
        </w:tc>
        <w:tc>
          <w:tcPr/>
          <w:p>
            <w:pPr>
              <w:pStyle w:val="Compact"/>
              <w:jc w:val="center"/>
            </w:pPr>
            <w:r>
              <w:rPr>
                <w:rFonts w:hint="eastAsia" w:ascii="Times New Roman" w:hAnsi="Times New Roman" w:eastAsia="FangSong" w:cs="Times New Roman"/>
              </w:rPr>
              <w:t>软酸可以是弱酸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也可以是极强结合者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硬酸有极强酸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亦有弱酸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不可混为一谈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向弱酸溶液中引入惰性中性盐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不会对其电离产生任何影响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惰性电解质改变溶液离子强度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产生明显的</w:t>
            </w:r>
            <w:r>
              <w:rPr>
                <w:rFonts w:hint="eastAsia" w:ascii="Times New Roman" w:hAnsi="Times New Roman" w:eastAsia="FangSong" w:cs="Times New Roman"/>
                <w:b/>
                <w:bCs/>
              </w:rPr>
              <w:t xml:space="preserve">盐效应</w:t>
            </w:r>
          </w:p>
        </w:tc>
        <w:tc>
          <w:tcPr/>
          <w:p>
            <w:pPr>
              <w:pStyle w:val="Compact"/>
              <w:jc w:val="center"/>
            </w:pPr>
            <w:r>
              <w:rPr>
                <w:rFonts w:hint="eastAsia" w:ascii="Times New Roman" w:hAnsi="Times New Roman" w:eastAsia="FangSong" w:cs="Times New Roman"/>
              </w:rPr>
              <w:t xml:space="preserve">离子强度增大导致活度系数</w:t>
            </w:r>
            <w:r>
              <w:rPr>
                <w:rFonts w:ascii="Times New Roman" w:hAnsi="Times New Roman" w:eastAsia="Times New Roman" w:cs="Times New Roman"/>
              </w:rPr>
              <w:t xml:space="preserve"> </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r>
              <w:rPr>
                <w:rFonts w:hint="eastAsia" w:ascii="Times New Roman" w:hAnsi="Times New Roman" w:eastAsia="FangSong" w:cs="Times New Roman"/>
              </w:rPr>
              <w:t>表观浓度平衡常数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必然增大</w:t>
            </w:r>
            <w:r>
              <w:rPr>
                <w:rFonts w:hint="eastAsia" w:ascii="Times New Roman" w:hAnsi="Times New Roman" w:eastAsia="Times New Roman" w:cs="Times New Roman"/>
              </w:rPr>
              <w:t>，</w:t>
            </w:r>
            <w:r>
              <w:rPr>
                <w:rFonts w:hint="eastAsia" w:ascii="Times New Roman" w:hAnsi="Times New Roman" w:eastAsia="FangSong" w:cs="Times New Roman"/>
              </w:rPr>
              <w:t>弱酸离解度表观上升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误用</w:t>
            </w:r>
            <w:r>
              <w:rPr>
                <w:rFonts w:hint="eastAsia" w:ascii="Times New Roman" w:hAnsi="Times New Roman" w:eastAsia="Times New Roman" w:cs="Times New Roman"/>
              </w:rPr>
              <w:t>“</w:t>
            </w:r>
            <w:r>
              <w:rPr>
                <w:rFonts w:hint="eastAsia" w:ascii="Times New Roman" w:hAnsi="Times New Roman" w:eastAsia="FangSong" w:cs="Times New Roman"/>
              </w:rPr>
              <w:t>极简式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计算所有浓度弱酸的电离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极简式成立的严谨边界判据为</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当弱酸浓度极稀或酸度中等偏强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自身离解度</w:t>
            </w:r>
            <w:r>
              <w:rPr>
                <w:rFonts w:ascii="Times New Roman" w:hAnsi="Times New Roman" w:eastAsia="Times New Roman" w:cs="Times New Roman"/>
              </w:rPr>
              <w:t xml:space="preserve"> </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必须求解精确一元二次方程</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强碱滴定一元弱酸突跃与终点误差分析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计算化学计量点时溶液的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计算滴定误差为</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即相对化学计量点加入滴定剂</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时对应的滴定突跃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论证选用酚酞指示剂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与甲基橙指示剂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各自产生的滴定终点误差</w:t>
      </w:r>
      <w:r>
        <w:rPr>
          <w:rFonts w:hint="eastAsia" w:ascii="Times New Roman" w:hAnsi="Times New Roman" w:eastAsia="Times New Roman" w:cs="Times New Roman"/>
        </w:rPr>
        <w:t>（</w:t>
      </w:r>
      <m:oMath>
        <m:r>
          <m:rPr>
            <m:sty m:val="p"/>
          </m:rPr>
          <m:t>T</m:t>
        </m:r>
        <m:r>
          <m:rPr>
            <m:sty m:val="p"/>
          </m:rPr>
          <m:t>E</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化学计量点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e</m:t>
            </m:r>
            <m:r>
              <m:rPr>
                <m:sty m:val="p"/>
              </m:rPr>
              <m:t>q</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体系完全转化为</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w:t>
      </w:r>
      <m:oMath>
        <m:oMathPr>
          <m:ctrlPr>
            <w:rPr>
              <w:sz w:val="28"/>
              <w:szCs w:val="28"/>
            </w:rPr>
          </m:ctrlPr>
        </m:oMathPr>
        <m:r>
          <m:t>40.00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t> </m:t>
              </m:r>
              <m:r>
                <m:rPr>
                  <m:sty m:val="p"/>
                </m:rPr>
                <m:t>m</m:t>
              </m:r>
              <m:r>
                <m:rPr>
                  <m:sty m:val="p"/>
                </m:rPr>
                <m:t>L</m:t>
              </m:r>
            </m:num>
            <m:den>
              <m:r>
                <m:t>40.00</m:t>
              </m:r>
              <m:r>
                <m:t> </m:t>
              </m:r>
              <m:r>
                <m:rPr>
                  <m:sty m:val="p"/>
                </m:rPr>
                <m:t>m</m:t>
              </m:r>
              <m:r>
                <m:rPr>
                  <m:sty m:val="p"/>
                </m:rPr>
                <m:t>L</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的结合质子常数</w:t>
      </w:r>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检验极简水解公式条件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b</m:t>
            </m:r>
          </m:sub>
        </m:sSub>
        <m:r>
          <m:rPr>
            <m:sty m:val="p"/>
          </m:rPr>
          <m:t>=</m:t>
        </m:r>
        <m:f>
          <m:fPr>
            <m:type m:val="bar"/>
          </m:fPr>
          <m:num>
            <m:r>
              <m:t>0.0500</m:t>
            </m:r>
          </m:num>
          <m:den>
            <m:r>
              <m:t>5.71</m:t>
            </m:r>
            <m:r>
              <m:rPr>
                <m:sty m:val="p"/>
              </m:rPr>
              <m:t>×</m:t>
            </m:r>
            <m:sSup>
              <m:e>
                <m:r>
                  <m:t>10</m:t>
                </m:r>
              </m:e>
              <m:sup>
                <m:r>
                  <m:rPr>
                    <m:sty m:val="p"/>
                  </m:rPr>
                  <m:t>−</m:t>
                </m:r>
                <m:r>
                  <m:t>10</m:t>
                </m:r>
              </m:sup>
            </m:sSup>
          </m:den>
        </m:f>
        <m:r>
          <m:rPr>
            <m:sty m:val="p"/>
          </m:rPr>
          <m:t>≈</m:t>
        </m:r>
        <m:r>
          <m:t>8.8</m:t>
        </m:r>
        <m:r>
          <m:rPr>
            <m:sty m:val="p"/>
          </m:rPr>
          <m:t>×</m:t>
        </m:r>
        <m:sSup>
          <m:e>
            <m:r>
              <m:t>10</m:t>
            </m:r>
          </m:e>
          <m:sup>
            <m:r>
              <m:t>7</m:t>
            </m:r>
          </m:sup>
        </m:sSup>
        <m:r>
          <m:rPr>
            <m:sty m:val="p"/>
          </m:rPr>
          <m:t>≫</m:t>
        </m:r>
        <m:r>
          <m:t>500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0.0500</m:t>
              </m:r>
              <m:r>
                <m:rPr>
                  <m:sty m:val="p"/>
                </m:rPr>
                <m:t>×</m:t>
              </m:r>
              <m:r>
                <m:t>5.71</m:t>
              </m:r>
              <m:r>
                <m:rPr>
                  <m:sty m:val="p"/>
                </m:rPr>
                <m:t>×</m:t>
              </m:r>
              <m:sSup>
                <m:e>
                  <m:r>
                    <m:t>10</m:t>
                  </m:r>
                </m:e>
                <m:sup>
                  <m:r>
                    <m:rPr>
                      <m:sty m:val="p"/>
                    </m:rPr>
                    <m:t>−</m:t>
                  </m:r>
                  <m:r>
                    <m:t>10</m:t>
                  </m:r>
                </m:sup>
              </m:sSup>
            </m:e>
          </m:rad>
          <m:r>
            <m:rPr>
              <m:sty m:val="p"/>
            </m:rPr>
            <m:t>=</m:t>
          </m:r>
          <m:rad>
            <m:radPr>
              <m:degHide m:val="on"/>
            </m:radPr>
            <m:deg/>
            <m:e>
              <m:r>
                <m:t>2.855</m:t>
              </m:r>
              <m:r>
                <m:rPr>
                  <m:sty m:val="p"/>
                </m:rPr>
                <m:t>×</m:t>
              </m:r>
              <m:sSup>
                <m:e>
                  <m:r>
                    <m:t>10</m:t>
                  </m:r>
                </m:e>
                <m:sup>
                  <m:r>
                    <m:rPr>
                      <m:sty m:val="p"/>
                    </m:rPr>
                    <m:t>−</m:t>
                  </m:r>
                  <m:r>
                    <m:t>11</m:t>
                  </m:r>
                </m:sup>
              </m:sSup>
            </m:e>
          </m:rad>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m:t>
          </m:r>
          <m:r>
            <m:rPr>
              <m:sty m:val="p"/>
            </m:rPr>
            <m:t>lg</m:t>
          </m:r>
          <m:r>
            <m:rPr>
              <m:sty m:val="p"/>
            </m:rPr>
            <m:t>(</m:t>
          </m:r>
          <m:r>
            <m:t>5.34</m:t>
          </m:r>
          <m:r>
            <m:rPr>
              <m:sty m:val="p"/>
            </m:rPr>
            <m:t>×</m:t>
          </m:r>
          <m:sSup>
            <m:e>
              <m:r>
                <m:t>10</m:t>
              </m:r>
            </m:e>
            <m:sup>
              <m:r>
                <m:rPr>
                  <m:sty m:val="p"/>
                </m:rPr>
                <m:t>−</m:t>
              </m:r>
              <m:r>
                <m:t>6</m:t>
              </m:r>
            </m:sup>
          </m:sSup>
          <m:r>
            <m:rPr>
              <m:sty m:val="p"/>
            </m:rPr>
            <m:t>)</m:t>
          </m:r>
          <m:r>
            <m:rPr>
              <m:sty m:val="p"/>
            </m:rPr>
            <m:t>=</m:t>
          </m:r>
          <m:r>
            <m:t>5.27</m:t>
          </m:r>
          <m:r>
            <m:rPr>
              <m:sty m:val="p"/>
            </m:rPr>
            <m:t>,</m:t>
          </m:r>
          <m:r>
            <m:t>  </m:t>
          </m:r>
          <m:sSub>
            <m:e>
              <m:r>
                <m:rPr>
                  <m:sty m:val="p"/>
                </m:rPr>
                <m:t>p</m:t>
              </m:r>
              <m:r>
                <m:rPr>
                  <m:sty m:val="p"/>
                </m:rPr>
                <m:t>H</m:t>
              </m:r>
            </m:e>
            <m:sub>
              <m:r>
                <m:rPr>
                  <m:sty m:val="p"/>
                </m:rPr>
                <m:t>e</m:t>
              </m:r>
              <m:r>
                <m:rPr>
                  <m:sty m:val="p"/>
                </m:rPr>
                <m:t>q</m:t>
              </m:r>
            </m:sub>
          </m:sSub>
          <m:r>
            <m:rPr>
              <m:sty m:val="p"/>
            </m:rPr>
            <m:t>=</m:t>
          </m:r>
          <m:r>
            <m:t>14.00</m:t>
          </m:r>
          <m:r>
            <m:rPr>
              <m:sty m:val="p"/>
            </m:rPr>
            <m:t>−</m:t>
          </m:r>
          <m:r>
            <m:t>5.27</m:t>
          </m:r>
          <m:r>
            <m:rPr>
              <m:sty m:val="p"/>
            </m:rPr>
            <m:t>=</m:t>
          </m:r>
          <m:r>
            <m:t>8.73</m:t>
          </m:r>
        </m:oMath>
      </m:oMathPara>
    </w:p>
    <w:p>
      <w:pPr>
        <w:pStyle w:val="Compact"/>
        <w:numPr>
          <w:ilvl w:val="0"/>
          <w:numId w:val="1007"/>
        </w:numPr>
        <w:ind w:firstLine="420"/>
      </w:pPr>
      <w:r>
        <w:rPr>
          <w:rFonts w:hint="eastAsia" w:ascii="Times New Roman" w:hAnsi="Times New Roman" w:eastAsia="FangSong" w:cs="Times New Roman"/>
        </w:rPr>
        <w:t>滴定突跃范围计算</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即滴入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完成度</w:t>
      </w:r>
      <w:r>
        <w:rPr>
          <w:rFonts w:ascii="Times New Roman" w:hAnsi="Times New Roman" w:eastAsia="Times New Roman" w:cs="Times New Roman"/>
          <w:b/>
          <w:bCs/>
        </w:rPr>
        <w:t xml:space="preserve"> </w:t>
      </w:r>
      <m:oMath>
        <m:r>
          <m:t>99.9</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sSub>
            <m:e>
              <m:r>
                <m:t>K</m:t>
              </m:r>
            </m:e>
            <m:sub>
              <m:r>
                <m:t>a</m:t>
              </m:r>
            </m:sub>
          </m:sSub>
          <m:r>
            <m:rPr>
              <m:sty m:val="p"/>
            </m:rPr>
            <m:t>+</m:t>
          </m:r>
          <m:r>
            <m:rPr>
              <m:sty m:val="p"/>
            </m:rPr>
            <m:t>lg</m:t>
          </m:r>
          <m:f>
            <m:fPr>
              <m:type m:val="bar"/>
            </m:fPr>
            <m:num>
              <m:r>
                <m:t>99.9</m:t>
              </m:r>
              <m:r>
                <m:rPr>
                  <m:sty m:val="p"/>
                </m:rPr>
                <m:t>%</m:t>
              </m:r>
            </m:num>
            <m:den>
              <m:r>
                <m:t>0.1</m:t>
              </m:r>
              <m:r>
                <m:rPr>
                  <m:sty m:val="p"/>
                </m:rPr>
                <m:t>%</m:t>
              </m:r>
            </m:den>
          </m:f>
          <m:r>
            <m:rPr>
              <m:sty m:val="p"/>
            </m:rPr>
            <m:t>=</m:t>
          </m:r>
          <m:r>
            <m:t>4.76</m:t>
          </m:r>
          <m:r>
            <m:rPr>
              <m:sty m:val="p"/>
            </m:rPr>
            <m:t>+</m:t>
          </m:r>
          <m:r>
            <m:rPr>
              <m:sty m:val="p"/>
            </m:rPr>
            <m:t>lg</m:t>
          </m:r>
          <m:r>
            <m:rPr>
              <m:sty m:val="p"/>
            </m:rPr>
            <m:t>(</m:t>
          </m:r>
          <m:r>
            <m:t>999</m:t>
          </m:r>
          <m:r>
            <m:rPr>
              <m:sty m:val="p"/>
            </m:rPr>
            <m:t>)</m:t>
          </m:r>
          <m:r>
            <m:rPr>
              <m:sty m:val="p"/>
            </m:rPr>
            <m:t>=</m:t>
          </m:r>
          <m:r>
            <m:t>4.76</m:t>
          </m:r>
          <m:r>
            <m:rPr>
              <m:sty m:val="p"/>
            </m:rPr>
            <m:t>+</m:t>
          </m:r>
          <m:r>
            <m:t>3.00</m:t>
          </m:r>
          <m:r>
            <m:rPr>
              <m:sty m:val="p"/>
            </m:rPr>
            <m:t>=</m:t>
          </m:r>
          <m:r>
            <m:t>7.76</m:t>
          </m:r>
        </m:oMath>
      </m:oMathPara>
    </w:p>
    <w:p>
      <w:pPr>
        <w:pStyle w:val="Compact"/>
        <w:numPr>
          <w:ilvl w:val="0"/>
          <w:numId w:val="1008"/>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即滴入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完成度</w:t>
      </w:r>
      <w:r>
        <w:rPr>
          <w:rFonts w:ascii="Times New Roman" w:hAnsi="Times New Roman" w:eastAsia="Times New Roman" w:cs="Times New Roman"/>
          <w:b/>
          <w:bCs/>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过量强碱控制体系酸度</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7.76</m:t>
        </m:r>
        <m:r>
          <m:rPr>
            <m:sty m:val="p"/>
          </m:rPr>
          <m:t>∼</m:t>
        </m:r>
        <m:r>
          <m:t>9.70</m:t>
        </m:r>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终点误差定量核算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根据分析化学一元弱酸滴定终点误差公式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d>
            <m:dPr>
              <m:begChr m:val="("/>
              <m:sepChr m:val=""/>
              <m:endChr m:val=")"/>
              <m:grow/>
            </m:dPr>
            <m:e>
              <m:sSub>
                <m:e>
                  <m:r>
                    <m:t>δ</m:t>
                  </m:r>
                </m:e>
                <m:sub>
                  <m:r>
                    <m:t>0</m:t>
                  </m:r>
                </m:sub>
              </m:sSub>
              <m:r>
                <m:rPr>
                  <m:sty m:val="p"/>
                </m:rPr>
                <m:t>(</m:t>
              </m:r>
              <m:r>
                <m:rPr>
                  <m:sty m:val="p"/>
                </m:rPr>
                <m:t>H</m:t>
              </m:r>
              <m:r>
                <m:rPr>
                  <m:sty m:val="p"/>
                </m:rPr>
                <m:t>A</m:t>
              </m:r>
              <m:r>
                <m:rPr>
                  <m:sty m:val="p"/>
                </m:rPr>
                <m:t>c</m:t>
              </m:r>
              <m:sSub>
                <m:e>
                  <m:r>
                    <m:rPr>
                      <m:sty m:val="p"/>
                    </m:rPr>
                    <m:t>)</m:t>
                  </m:r>
                </m:e>
                <m:sub>
                  <m:r>
                    <m:rPr>
                      <m:sty m:val="p"/>
                    </m:rPr>
                    <m:t>e</m:t>
                  </m:r>
                  <m:r>
                    <m:rPr>
                      <m:sty m:val="p"/>
                    </m:rPr>
                    <m:t>p</m:t>
                  </m:r>
                </m:sub>
              </m:sSub>
              <m:r>
                <m:rPr>
                  <m:sty m:val="p"/>
                </m:rPr>
                <m:t>−</m:t>
              </m:r>
              <m:r>
                <m:t>0</m:t>
              </m:r>
            </m:e>
          </m:d>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f>
            <m:fPr>
              <m:type m:val="bar"/>
            </m:fPr>
            <m:num>
              <m:r>
                <m:rPr>
                  <m:sty m:val="p"/>
                </m:rPr>
                <m:t>[</m:t>
              </m:r>
              <m:sSup>
                <m:e>
                  <m:r>
                    <m:rPr>
                      <m:sty m:val="p"/>
                    </m:rPr>
                    <m:t>H</m:t>
                  </m:r>
                </m:e>
                <m:sup>
                  <m:r>
                    <m:rPr>
                      <m:sty m:val="p"/>
                    </m:rPr>
                    <m:t>+</m:t>
                  </m:r>
                </m:sup>
              </m:sSup>
              <m:sSub>
                <m:e>
                  <m:r>
                    <m:rPr>
                      <m:sty m:val="p"/>
                    </m:rPr>
                    <m:t>]</m:t>
                  </m:r>
                </m:e>
                <m:sub>
                  <m:r>
                    <m:rPr>
                      <m:sty m:val="p"/>
                    </m:rPr>
                    <m:t>e</m:t>
                  </m:r>
                  <m:r>
                    <m:rPr>
                      <m:sty m:val="p"/>
                    </m:rPr>
                    <m:t>p</m:t>
                  </m:r>
                </m:sub>
              </m:sSub>
            </m:num>
            <m:den>
              <m:r>
                <m:rPr>
                  <m:sty m:val="p"/>
                </m:rPr>
                <m:t>[</m:t>
              </m:r>
              <m:sSup>
                <m:e>
                  <m:r>
                    <m:rPr>
                      <m:sty m:val="p"/>
                    </m:rPr>
                    <m:t>H</m:t>
                  </m:r>
                </m:e>
                <m:sup>
                  <m:r>
                    <m:rPr>
                      <m:sty m:val="p"/>
                    </m:rPr>
                    <m:t>+</m:t>
                  </m:r>
                </m:sup>
              </m:sSup>
              <m:sSub>
                <m:e>
                  <m:r>
                    <m:rPr>
                      <m:sty m:val="p"/>
                    </m:rPr>
                    <m:t>]</m:t>
                  </m:r>
                </m:e>
                <m:sub>
                  <m:r>
                    <m:rPr>
                      <m:sty m:val="p"/>
                    </m:rPr>
                    <m:t>e</m:t>
                  </m:r>
                  <m:r>
                    <m:rPr>
                      <m:sty m:val="p"/>
                    </m:rPr>
                    <m:t>p</m:t>
                  </m:r>
                </m:sub>
              </m:sSub>
              <m:r>
                <m:rPr>
                  <m:sty m:val="p"/>
                </m:rPr>
                <m:t>+</m:t>
              </m:r>
              <m:sSub>
                <m:e>
                  <m:r>
                    <m:t>K</m:t>
                  </m:r>
                </m:e>
                <m:sub>
                  <m:r>
                    <m:t>a</m:t>
                  </m:r>
                </m:sub>
              </m:sSub>
            </m:den>
          </m:f>
          <m:r>
            <m:t> </m:t>
          </m:r>
          <m:r>
            <m:rPr>
              <m:sty m:val="p"/>
            </m:rPr>
            <m:t>(</m:t>
          </m:r>
          <m:r>
            <m:rPr>
              <m:nor/>
              <m:sty m:val="p"/>
            </m:rPr>
            <m:t>计量点后微量过碱</m:t>
          </m:r>
          <m:r>
            <m:rPr>
              <m:sty m:val="p"/>
            </m:rPr>
            <m:t>)</m:t>
          </m:r>
        </m:oMath>
      </m:oMathPara>
    </w:p>
    <w:p>
      <w:pPr>
        <w:pStyle w:val="Compact"/>
        <w:numPr>
          <w:ilvl w:val="0"/>
          <w:numId w:val="1000"/>
        </w:numPr>
        <w:ind w:firstLine="420"/>
      </w:pPr>
      <w:r>
        <w:rPr>
          <w:rFonts w:hint="eastAsia" w:ascii="Times New Roman" w:hAnsi="Times New Roman" w:eastAsia="FangSong" w:cs="Times New Roman"/>
        </w:rPr>
        <w:t>更严密的林邦</w:t>
      </w:r>
      <w:r>
        <w:rPr>
          <w:rFonts w:hint="eastAsia" w:ascii="Times New Roman" w:hAnsi="Times New Roman" w:eastAsia="Times New Roman" w:cs="Times New Roman"/>
        </w:rPr>
        <w:t>（Ringbom）</w:t>
      </w:r>
      <w:r>
        <w:rPr>
          <w:rFonts w:hint="eastAsia" w:ascii="Times New Roman" w:hAnsi="Times New Roman" w:eastAsia="FangSong" w:cs="Times New Roman"/>
        </w:rPr>
        <w:t>终点误差公式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f>
            <m:fPr>
              <m:type m:val="bar"/>
            </m:fPr>
            <m:num>
              <m:sSub>
                <m:e>
                  <m:r>
                    <m:t>c</m:t>
                  </m:r>
                </m:e>
                <m:sub>
                  <m:r>
                    <m:rPr>
                      <m:sty m:val="p"/>
                    </m:rPr>
                    <m:t>a</m:t>
                  </m:r>
                  <m:r>
                    <m:rPr>
                      <m:sty m:val="p"/>
                    </m:rPr>
                    <m:t>c</m:t>
                  </m:r>
                  <m:r>
                    <m:rPr>
                      <m:sty m:val="p"/>
                    </m:rPr>
                    <m:t>i</m:t>
                  </m:r>
                  <m:r>
                    <m:rPr>
                      <m:sty m:val="p"/>
                    </m:rPr>
                    <m:t>d</m:t>
                  </m:r>
                </m:sub>
              </m:sSub>
            </m:num>
            <m:den>
              <m:sSub>
                <m:e>
                  <m:r>
                    <m:t>c</m:t>
                  </m:r>
                </m:e>
                <m:sub>
                  <m:r>
                    <m:rPr>
                      <m:sty m:val="p"/>
                    </m:rPr>
                    <m:t>e</m:t>
                  </m:r>
                  <m:r>
                    <m:rPr>
                      <m:sty m:val="p"/>
                    </m:rPr>
                    <m:t>q</m:t>
                  </m:r>
                </m:sub>
              </m:sSub>
            </m:den>
          </m:f>
          <m:d>
            <m:dPr>
              <m:begChr m:val="("/>
              <m:sepChr m:val=""/>
              <m:endChr m:val=")"/>
              <m:grow/>
            </m:dPr>
            <m:e>
              <m:f>
                <m:fPr>
                  <m:type m:val="bar"/>
                </m:fPr>
                <m:num>
                  <m:r>
                    <m:rPr>
                      <m:sty m:val="p"/>
                    </m:rPr>
                    <m:t>[</m:t>
                  </m:r>
                  <m:sSup>
                    <m:e>
                      <m:r>
                        <m:rPr>
                          <m:sty m:val="p"/>
                        </m:rPr>
                        <m:t>H</m:t>
                      </m:r>
                    </m:e>
                    <m:sup>
                      <m:r>
                        <m:rPr>
                          <m:sty m:val="p"/>
                        </m:rPr>
                        <m:t>+</m:t>
                      </m:r>
                    </m:sup>
                  </m:sSup>
                  <m:sSub>
                    <m:e>
                      <m:r>
                        <m:rPr>
                          <m:sty m:val="p"/>
                        </m:rPr>
                        <m:t>]</m:t>
                      </m:r>
                    </m:e>
                    <m:sub>
                      <m:r>
                        <m:rPr>
                          <m:sty m:val="p"/>
                        </m:rPr>
                        <m:t>e</m:t>
                      </m:r>
                      <m:r>
                        <m:rPr>
                          <m:sty m:val="p"/>
                        </m:rPr>
                        <m:t>p</m:t>
                      </m:r>
                    </m:sub>
                  </m:sSub>
                </m:num>
                <m:den>
                  <m:r>
                    <m:rPr>
                      <m:sty m:val="p"/>
                    </m:rPr>
                    <m:t>[</m:t>
                  </m:r>
                  <m:sSup>
                    <m:e>
                      <m:r>
                        <m:rPr>
                          <m:sty m:val="p"/>
                        </m:rPr>
                        <m:t>H</m:t>
                      </m:r>
                    </m:e>
                    <m:sup>
                      <m:r>
                        <m:rPr>
                          <m:sty m:val="p"/>
                        </m:rPr>
                        <m:t>+</m:t>
                      </m:r>
                    </m:sup>
                  </m:sSup>
                  <m:sSub>
                    <m:e>
                      <m:r>
                        <m:rPr>
                          <m:sty m:val="p"/>
                        </m:rPr>
                        <m:t>]</m:t>
                      </m:r>
                    </m:e>
                    <m:sub>
                      <m:r>
                        <m:rPr>
                          <m:sty m:val="p"/>
                        </m:rPr>
                        <m:t>e</m:t>
                      </m:r>
                      <m:r>
                        <m:rPr>
                          <m:sty m:val="p"/>
                        </m:rPr>
                        <m:t>p</m:t>
                      </m:r>
                    </m:sub>
                  </m:sSub>
                  <m:r>
                    <m:rPr>
                      <m:sty m:val="p"/>
                    </m:rPr>
                    <m:t>+</m:t>
                  </m:r>
                  <m:sSub>
                    <m:e>
                      <m:r>
                        <m:t>K</m:t>
                      </m:r>
                    </m:e>
                    <m:sub>
                      <m:r>
                        <m:t>a</m:t>
                      </m:r>
                    </m:sub>
                  </m:sSub>
                </m:den>
              </m:f>
            </m:e>
          </m:d>
        </m:oMath>
      </m:oMathPara>
    </w:p>
    <w:p>
      <w:pPr>
        <w:pStyle w:val="Compact"/>
        <w:numPr>
          <w:ilvl w:val="0"/>
          <w:numId w:val="1010"/>
        </w:numPr>
        <w:ind w:firstLine="420"/>
      </w:pPr>
      <w:r>
        <w:rPr>
          <w:rFonts w:hint="eastAsia" w:ascii="Times New Roman" w:hAnsi="Times New Roman" w:eastAsia="FangSong" w:cs="Times New Roman"/>
          <w:b/>
          <w:bCs/>
        </w:rPr>
        <w:t>若选用酚酞</w:t>
      </w:r>
      <w:r>
        <w:rPr>
          <w:rFonts w:hint="eastAsia" w:ascii="Times New Roman" w:hAnsi="Times New Roman" w:eastAsia="Times New Roman" w:cs="Times New Roman"/>
          <w:b/>
          <w:bCs/>
        </w:rPr>
        <w:t>（</w:t>
      </w:r>
      <w:r>
        <w:rPr>
          <w:rFonts w:hint="eastAsia" w:ascii="Times New Roman" w:hAnsi="Times New Roman" w:eastAsia="FangSong" w:cs="Times New Roman"/>
          <w:b/>
          <w:bCs/>
        </w:rPr>
        <w:t>终点</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落入突跃范围</w:t>
      </w:r>
      <w:r>
        <w:rPr>
          <w:rFonts w:ascii="Times New Roman" w:hAnsi="Times New Roman" w:eastAsia="Times New Roman" w:cs="Times New Roman"/>
        </w:rPr>
        <w:t xml:space="preserve"> </w:t>
      </w:r>
      <m:oMath>
        <m:oMathPr>
          <m:ctrlPr>
            <w:rPr>
              <w:sz w:val="28"/>
              <w:szCs w:val="28"/>
            </w:rPr>
          </m:ctrlPr>
        </m:oMathPr>
        <m:r>
          <m:t>7.76</m:t>
        </m:r>
        <m:r>
          <m:rPr>
            <m:sty m:val="p"/>
          </m:rPr>
          <m:t>∼</m:t>
        </m:r>
        <m:r>
          <m:t>9.70</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100</m:t>
          </m:r>
          <m:r>
            <m:rPr>
              <m:sty m:val="p"/>
            </m:rPr>
            <m:t>%</m:t>
          </m:r>
          <m:r>
            <m:rPr>
              <m:sty m:val="p"/>
            </m:rPr>
            <m:t>=</m:t>
          </m:r>
          <m:r>
            <m:rPr>
              <m:sty m:val="p"/>
            </m:rPr>
            <m:t>+</m:t>
          </m:r>
          <m:r>
            <m:t>0.02</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相对终点误差仅为</w:t>
      </w:r>
      <w:r>
        <w:rPr>
          <w:rFonts w:ascii="Times New Roman" w:hAnsi="Times New Roman" w:eastAsia="Times New Roman" w:cs="Times New Roman"/>
        </w:rPr>
        <w:t xml:space="preserve"> </w:t>
      </w:r>
      <m:oMath>
        <m:oMathPr>
          <m:ctrlPr>
            <w:rPr>
              <w:sz w:val="28"/>
              <w:szCs w:val="28"/>
            </w:rPr>
          </m:ctrlPr>
        </m:oMathP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完全满足定量分析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的严格要求</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若误用甲基橙</w:t>
      </w:r>
      <w:r>
        <w:rPr>
          <w:rFonts w:hint="eastAsia" w:ascii="Times New Roman" w:hAnsi="Times New Roman" w:eastAsia="Times New Roman" w:cs="Times New Roman"/>
          <w:b/>
          <w:bCs/>
        </w:rPr>
        <w:t>（</w:t>
      </w:r>
      <w:r>
        <w:rPr>
          <w:rFonts w:hint="eastAsia" w:ascii="Times New Roman" w:hAnsi="Times New Roman" w:eastAsia="FangSong" w:cs="Times New Roman"/>
          <w:b/>
          <w:bCs/>
        </w:rPr>
        <w:t>终点</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由于变色点远在突跃区之前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未反应的未离解乙酸分数高达</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δ</m:t>
              </m:r>
            </m:e>
            <m:sub>
              <m:r>
                <m:t>0</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f>
            <m:fPr>
              <m:type m:val="bar"/>
            </m:fPr>
            <m:num>
              <m:r>
                <m:t>1.0</m:t>
              </m:r>
              <m:r>
                <m:rPr>
                  <m:sty m:val="p"/>
                </m:rPr>
                <m:t>×</m:t>
              </m:r>
              <m:sSup>
                <m:e>
                  <m:r>
                    <m:t>10</m:t>
                  </m:r>
                </m:e>
                <m:sup>
                  <m:r>
                    <m:rPr>
                      <m:sty m:val="p"/>
                    </m:rPr>
                    <m:t>−</m:t>
                  </m:r>
                  <m:r>
                    <m:t>4</m:t>
                  </m:r>
                </m:sup>
              </m:sSup>
            </m:num>
            <m:den>
              <m:r>
                <m:t>1.0</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den>
          </m:f>
          <m:r>
            <m:rPr>
              <m:sty m:val="p"/>
            </m:rPr>
            <m:t>=</m:t>
          </m:r>
          <m:f>
            <m:fPr>
              <m:type m:val="bar"/>
            </m:fPr>
            <m:num>
              <m:r>
                <m:t>1.0</m:t>
              </m:r>
              <m:r>
                <m:rPr>
                  <m:sty m:val="p"/>
                </m:rPr>
                <m:t>×</m:t>
              </m:r>
              <m:sSup>
                <m:e>
                  <m:r>
                    <m:t>10</m:t>
                  </m:r>
                </m:e>
                <m:sup>
                  <m:r>
                    <m:rPr>
                      <m:sty m:val="p"/>
                    </m:rPr>
                    <m:t>−</m:t>
                  </m:r>
                  <m:r>
                    <m:t>4</m:t>
                  </m:r>
                </m:sup>
              </m:sSup>
            </m:num>
            <m:den>
              <m:r>
                <m:t>1.175</m:t>
              </m:r>
              <m:r>
                <m:rPr>
                  <m:sty m:val="p"/>
                </m:rPr>
                <m:t>×</m:t>
              </m:r>
              <m:sSup>
                <m:e>
                  <m:r>
                    <m:t>10</m:t>
                  </m:r>
                </m:e>
                <m:sup>
                  <m:r>
                    <m:rPr>
                      <m:sty m:val="p"/>
                    </m:rPr>
                    <m:t>−</m:t>
                  </m:r>
                  <m:r>
                    <m:t>4</m:t>
                  </m:r>
                </m:sup>
              </m:sSup>
            </m:den>
          </m:f>
          <m:r>
            <m:rPr>
              <m:sty m:val="p"/>
            </m:rPr>
            <m:t>≈</m:t>
          </m:r>
          <m:r>
            <m:t>85.1</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此时体系仅仅滴定了不到</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的醋酸即停止滴定</w:t>
      </w:r>
      <w:r>
        <w:rPr>
          <w:rFonts w:hint="eastAsia" w:ascii="Times New Roman" w:hAnsi="Times New Roman" w:eastAsia="Times New Roman" w:cs="Times New Roman"/>
        </w:rPr>
        <w:t>，</w:t>
      </w:r>
      <w:r>
        <w:rPr>
          <w:rFonts w:hint="eastAsia" w:ascii="Times New Roman" w:hAnsi="Times New Roman" w:eastAsia="FangSong" w:cs="Times New Roman"/>
        </w:rPr>
        <w:t>终点误差高达</w:t>
      </w:r>
      <w:r>
        <w:rPr>
          <w:rFonts w:ascii="Times New Roman" w:hAnsi="Times New Roman" w:eastAsia="Times New Roman" w:cs="Times New Roman"/>
        </w:rPr>
        <w:t xml:space="preserve"> </w:t>
      </w:r>
      <m:oMath>
        <m:oMathPr>
          <m:ctrlPr>
            <w:rPr>
              <w:sz w:val="28"/>
              <w:szCs w:val="28"/>
            </w:rPr>
          </m:ctrlPr>
        </m:oMathPr>
        <m:r>
          <m:rPr>
            <m:sty m:val="p"/>
          </m:rPr>
          <m:t>−</m:t>
        </m:r>
        <m:r>
          <m:t>85.1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实验完全失效</w:t>
      </w:r>
      <w:r>
        <w:rPr>
          <w:rFonts w:hint="eastAsia" w:ascii="Times New Roman" w:hAnsi="Times New Roman" w:eastAsia="Times New Roman" w:cs="Times New Roman"/>
        </w:rPr>
        <w:t>。</w:t>
      </w:r>
      <w:r>
        <w:rPr>
          <w:rFonts w:hint="eastAsia" w:ascii="Times New Roman" w:hAnsi="Times New Roman" w:eastAsia="FangSong" w:cs="Times New Roman"/>
        </w:rPr>
        <w:t>此计算深刻证明了指示剂变色范围必须覆盖滴定突跃的根本原则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9"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覆盖共轭酸碱对与</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电离度与</w:t>
      </w:r>
      <w:r>
        <w:rPr>
          <w:rFonts w:ascii="Times New Roman" w:hAnsi="Times New Roman" w:eastAsia="Times New Roman" w:cs="Times New Roman"/>
        </w:rPr>
        <w:t xml:space="preserve"> pH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hint="eastAsia" w:ascii="Times New Roman" w:hAnsi="Times New Roman" w:eastAsia="FangSong" w:cs="Times New Roman"/>
        </w:rPr>
        <w:t>缓冲溶液配制与性能</w:t>
      </w:r>
      <w:r>
        <w:rPr>
          <w:rFonts w:hint="eastAsia" w:ascii="Times New Roman" w:hAnsi="Times New Roman" w:eastAsia="Times New Roman" w:cs="Times New Roman"/>
        </w:rPr>
        <w:t>、</w:t>
      </w:r>
      <w:r>
        <w:rPr>
          <w:rFonts w:hint="eastAsia" w:ascii="Times New Roman" w:hAnsi="Times New Roman" w:eastAsia="FangSong" w:cs="Times New Roman"/>
        </w:rPr>
        <w:t>指示剂变色与滴定突跃等本讲全部考点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4"/>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5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16"/>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17"/>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19"/>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0"/>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25"/>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26"/>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43" Type="http://schemas.openxmlformats.org/officeDocument/2006/relationships/image" Target="media/rId43.jpg"/><Relationship Id="rId50" Type="http://schemas.openxmlformats.org/officeDocument/2006/relationships/image" Target="media/rId50.jpg"/><Relationship Id="rId27" Type="http://schemas.openxmlformats.org/officeDocument/2006/relationships/image" Target="media/rId27.jpg"/><Relationship Id="rId33" Type="http://schemas.openxmlformats.org/officeDocument/2006/relationships/image" Target="media/rId33.jpg"/><Relationship Id="rId46" Type="http://schemas.openxmlformats.org/officeDocument/2006/relationships/image" Target="media/rId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2026-09-29T04:02:16Z</dcterms:created>
  <dcterms:modified xsi:type="dcterms:W3CDTF">2026-09-29T04:02:16Z</dcterms:modified>
</cp:coreProperties>
</file>

<file path=docProps/custom.xml><?xml version="1.0" encoding="utf-8"?>
<Properties xmlns="http://schemas.openxmlformats.org/officeDocument/2006/custom-properties" xmlns:vt="http://schemas.openxmlformats.org/officeDocument/2006/docPropsVTypes"/>
</file>