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第一轮综合练习-第0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01</w:t>
      </w:r>
      <w:r>
        <w:rPr>
          <w:rFonts w:hint="eastAsia" w:ascii="Times New Roman" w:hAnsi="Times New Roman" w:eastAsia="SimHei" w:cs="Times New Roman"/>
        </w:rPr>
        <w:t>卷</w:t>
      </w:r>
    </w:p>
    <w:p>
      <w:pPr>
        <w:spacing w:before="160" w:after="80"/>
      </w:pPr>
      <w:r>
        <w:pict>
          <v:rect style="width:0;height:1.5pt" o:hralign="center" o:hrstd="t" o:hr="t"/>
        </w:pict>
      </w:r>
    </w:p>
    <w:bookmarkStart w:id="48"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257840"/>
            <wp:effectExtent b="0" l="0" r="0" t="0"/>
            <wp:docPr descr="" title="" id="10" name="Picture"/>
            <a:graphic>
              <a:graphicData uri="http://schemas.openxmlformats.org/drawingml/2006/picture">
                <pic:pic>
                  <pic:nvPicPr>
                    <pic:cNvPr descr="80cad93309ed6598.png" id="11" name="Picture"/>
                    <pic:cNvPicPr>
                      <a:picLocks noChangeArrowheads="1" noChangeAspect="1"/>
                    </pic:cNvPicPr>
                  </pic:nvPicPr>
                  <pic:blipFill>
                    <a:blip r:embed="rId9"/>
                    <a:stretch>
                      <a:fillRect/>
                    </a:stretch>
                  </pic:blipFill>
                  <pic:spPr bwMode="auto">
                    <a:xfrm>
                      <a:off x="0" y="0"/>
                      <a:ext cx="3600000" cy="2257840"/>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的键角种类有几种</w:t>
      </w:r>
    </w:p>
    <w:p>
      <w:pPr>
        <w:pStyle w:val="Compact"/>
        <w:ind w:left="480" w:hanging="480"/>
        <w:spacing w:after="0"/>
      </w:pPr>
      <w:r>
        <w:rPr>
          <w:rFonts w:ascii="Times New Roman" w:hAnsi="Times New Roman" w:eastAsia="Times New Roman" w:cs="Times New Roman"/>
        </w:rPr>
        <w:t xml:space="preserve">A. 1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4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下列有关分子结构的说法正确的是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根据等电子原理</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均具有</w:t>
      </w:r>
      <w:r>
        <w:rPr>
          <w:rFonts w:ascii="Times New Roman" w:hAnsi="Times New Roman" w:eastAsia="Times New Roman" w:cs="Times New Roman"/>
        </w:rPr>
        <w:t xml:space="preserve"> V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其中心原子均为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B.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的电负性差比</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的电负性差大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分子的极性比</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分子强</w:t>
      </w:r>
    </w:p>
    <w:p>
      <w:pPr>
        <w:pStyle w:val="Compact"/>
      </w:pP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HF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F—H···F </w:t>
      </w:r>
      <w:r>
        <w:rPr>
          <w:rFonts w:hint="eastAsia" w:ascii="Times New Roman" w:hAnsi="Times New Roman" w:eastAsia="FangSong" w:cs="Times New Roman"/>
        </w:rPr>
        <w:t xml:space="preserve">氢键键能比</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的氢键键能大</w:t>
      </w:r>
    </w:p>
    <w:p>
      <w:pPr>
        <w:pStyle w:val="Compact"/>
      </w:pPr>
      <w:r>
        <w:rPr>
          <w:rFonts w:ascii="Times New Roman" w:hAnsi="Times New Roman" w:eastAsia="Times New Roman" w:cs="Times New Roman"/>
        </w:rPr>
        <w:t>D.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在气态时以</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该分子中所有</w:t>
      </w:r>
      <w:r>
        <w:rPr>
          <w:rFonts w:ascii="Times New Roman" w:hAnsi="Times New Roman" w:eastAsia="Times New Roman" w:cs="Times New Roman"/>
        </w:rPr>
        <w:t xml:space="preserve"> Al—Cl </w:t>
      </w:r>
      <w:r>
        <w:rPr>
          <w:rFonts w:hint="eastAsia" w:ascii="Times New Roman" w:hAnsi="Times New Roman" w:eastAsia="FangSong" w:cs="Times New Roman"/>
        </w:rPr>
        <w:t xml:space="preserve">键的键长都相等</w:t>
      </w:r>
    </w:p>
    <w:p>
      <w:pPr>
        <w:spacing w:before="0" w:after="0"/>
      </w:pPr>
    </w:p>
    <w:p>
      <w:pPr>
        <w:spacing w:before="0" w:after="0"/>
      </w:pP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以下物质的空间结构与其它物质不相同的是</w:t>
      </w:r>
    </w:p>
    <w:p>
      <w:pPr>
        <w:pStyle w:val="Compac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B.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Compac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w:t>
      </w:r>
    </w:p>
    <w:p>
      <w:pPr>
        <w:pStyle w:val="Compact"/>
        <w:ind w:left="480" w:hanging="480"/>
        <w:spacing w:before="0" w:after="36"/>
      </w:pPr>
      <w:r>
        <w:rPr>
          <w:rFonts w:ascii="Times New Roman" w:hAnsi="Times New Roman" w:eastAsia="Times New Roman" w:cs="Times New Roman"/>
        </w:rPr>
        <w:t xml:space="preserve">D. Zn(CN)</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spacing w:before="0" w:after="0"/>
      </w:pPr>
    </w:p>
    <w:p>
      <w:pPr>
        <w:spacing w:before="0" w:after="0"/>
      </w:pP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下列说法正确的是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spacing w:before="0" w:after="0"/>
      </w:pPr>
    </w:p>
    <w:p>
      <w:pPr>
        <w:spacing w:before="0" w:after="0"/>
      </w:pPr>
    </w:p>
    <w:p>
      <w:pPr>
        <w:spacing w:before="160" w:after="80"/>
      </w:pPr>
      <w:r>
        <w:pict>
          <v:rect style="width:0;height:1.5pt" o:hralign="center" o:hrstd="t" o:hr="t"/>
        </w:pict>
      </w:r>
    </w:p>
    <w:bookmarkEnd w:id="16"/>
    <w:bookmarkStart w:id="17"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下列说法错误的是</w:t>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使用正催化剂</w:t>
      </w:r>
      <w:r>
        <w:rPr>
          <w:rFonts w:hint="eastAsia" w:ascii="Times New Roman" w:hAnsi="Times New Roman" w:eastAsia="Times New Roman" w:cs="Times New Roman"/>
        </w:rPr>
        <w:t>，</w:t>
      </w:r>
      <w:r>
        <w:rPr>
          <w:rFonts w:hint="eastAsia" w:ascii="Times New Roman" w:hAnsi="Times New Roman" w:eastAsia="FangSong" w:cs="Times New Roman"/>
        </w:rPr>
        <w:t>可提高活化分子百分数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对反应施加磁场</w:t>
      </w:r>
      <w:r>
        <w:rPr>
          <w:rFonts w:hint="eastAsia" w:ascii="Times New Roman" w:hAnsi="Times New Roman" w:eastAsia="Times New Roman" w:cs="Times New Roman"/>
        </w:rPr>
        <w:t>，</w:t>
      </w:r>
      <w:r>
        <w:rPr>
          <w:rFonts w:hint="eastAsia" w:ascii="Times New Roman" w:hAnsi="Times New Roman" w:eastAsia="FangSong" w:cs="Times New Roman"/>
        </w:rPr>
        <w:t>可使分子平均能量提高</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可提高反应物分子的平均能量</w:t>
      </w:r>
      <w:r>
        <w:rPr>
          <w:rFonts w:hint="eastAsia" w:ascii="Times New Roman" w:hAnsi="Times New Roman" w:eastAsia="Times New Roman" w:cs="Times New Roman"/>
        </w:rPr>
        <w:t>，</w:t>
      </w:r>
      <w:r>
        <w:rPr>
          <w:rFonts w:hint="eastAsia" w:ascii="Times New Roman" w:hAnsi="Times New Roman" w:eastAsia="FangSong" w:cs="Times New Roman"/>
        </w:rPr>
        <w:t>提高活化分子百分数</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增大反应物浓度</w:t>
      </w:r>
      <w:r>
        <w:rPr>
          <w:rFonts w:hint="eastAsia" w:ascii="Times New Roman" w:hAnsi="Times New Roman" w:eastAsia="Times New Roman" w:cs="Times New Roman"/>
        </w:rPr>
        <w:t>，</w:t>
      </w:r>
      <w:r>
        <w:rPr>
          <w:rFonts w:hint="eastAsia" w:ascii="Times New Roman" w:hAnsi="Times New Roman" w:eastAsia="FangSong" w:cs="Times New Roman"/>
        </w:rPr>
        <w:t>单位体积内分子总数增加</w:t>
      </w:r>
      <w:r>
        <w:rPr>
          <w:rFonts w:hint="eastAsia" w:ascii="Times New Roman" w:hAnsi="Times New Roman" w:eastAsia="Times New Roman" w:cs="Times New Roman"/>
        </w:rPr>
        <w:t>，</w:t>
      </w:r>
      <w:r>
        <w:rPr>
          <w:rFonts w:hint="eastAsia" w:ascii="Times New Roman" w:hAnsi="Times New Roman" w:eastAsia="FangSong" w:cs="Times New Roman"/>
        </w:rPr>
        <w:t>活化分子数增加</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p>
    <w:p>
      <w:pPr>
        <w:spacing w:before="0" w:after="0"/>
      </w:pPr>
    </w:p>
    <w:p>
      <w:pPr>
        <w:spacing w:before="0" w:after="0"/>
      </w:pPr>
    </w:p>
    <w:p>
      <w:pPr>
        <w:spacing w:before="160" w:after="80"/>
      </w:pPr>
      <w:r>
        <w:pict>
          <v:rect style="width:0;height:1.5pt" o:hralign="center" o:hrstd="t" o:hr="t"/>
        </w:pict>
      </w:r>
    </w:p>
    <w:bookmarkEnd w:id="17"/>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228710" cy="3149686"/>
            <wp:effectExtent b="0" l="0" r="0" t="0"/>
            <wp:docPr descr="" title="" id="29" name="Picture"/>
            <a:graphic>
              <a:graphicData uri="http://schemas.openxmlformats.org/drawingml/2006/picture">
                <pic:pic>
                  <pic:nvPicPr>
                    <pic:cNvPr descr="dbd84cbe343ede0b504e3f7d8c81b27fa9cc489941544ba32bb53487300a7d07.jpg" id="30" name="Picture"/>
                    <pic:cNvPicPr>
                      <a:picLocks noChangeArrowheads="1" noChangeAspect="1"/>
                    </pic:cNvPicPr>
                  </pic:nvPicPr>
                  <pic:blipFill>
                    <a:blip r:embed="rId28"/>
                    <a:stretch>
                      <a:fillRect/>
                    </a:stretch>
                  </pic:blipFill>
                  <pic:spPr bwMode="auto">
                    <a:xfrm>
                      <a:off x="0" y="0"/>
                      <a:ext cx="3228710" cy="314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32" name="Picture"/>
            <a:graphic>
              <a:graphicData uri="http://schemas.openxmlformats.org/drawingml/2006/picture">
                <pic:pic>
                  <pic:nvPicPr>
                    <pic:cNvPr descr="3ae2633502a55fdbae73ead6d4061d9e85065b017fcefbbce705d8080f865342.jpg" id="33" name="Picture"/>
                    <pic:cNvPicPr>
                      <a:picLocks noChangeArrowheads="1" noChangeAspect="1"/>
                    </pic:cNvPicPr>
                  </pic:nvPicPr>
                  <pic:blipFill>
                    <a:blip r:embed="rId31"/>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35" name="Picture"/>
            <a:graphic>
              <a:graphicData uri="http://schemas.openxmlformats.org/drawingml/2006/picture">
                <pic:pic>
                  <pic:nvPicPr>
                    <pic:cNvPr descr="ecd86b05439d0604b56c83f73d5c611c04bb16653d1b2cdb902c310674c2a17a.jpg" id="36" name="Picture"/>
                    <pic:cNvPicPr>
                      <a:picLocks noChangeArrowheads="1" noChangeAspect="1"/>
                    </pic:cNvPicPr>
                  </pic:nvPicPr>
                  <pic:blipFill>
                    <a:blip r:embed="rId34"/>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 xml:space="preserve">石油炼制过程中产生大量的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废气</w:t>
      </w:r>
      <w:r>
        <w:rPr>
          <w:rFonts w:hint="eastAsia" w:ascii="Times New Roman" w:hAnsi="Times New Roman" w:eastAsia="Times New Roman" w:cs="Times New Roman"/>
        </w:rPr>
        <w:t>，</w:t>
      </w:r>
      <w:r>
        <w:rPr>
          <w:rFonts w:hint="eastAsia" w:ascii="Times New Roman" w:hAnsi="Times New Roman" w:eastAsia="FangSong" w:cs="Times New Roman"/>
        </w:rPr>
        <w:t>用热分解法和电化学的方法可以制得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和硫磺产品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如何从高温分解</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的蒸汽中得到硫磺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电化学的基本工艺是将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过滤后将反应液通入电解槽中电解</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体系中对</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的吸收率可达</w:t>
      </w:r>
      <w:r>
        <w:rPr>
          <w:rFonts w:ascii="Times New Roman" w:hAnsi="Times New Roman" w:eastAsia="Times New Roman" w:cs="Times New Roman"/>
        </w:rPr>
        <w:t xml:space="preserve"> </w:t>
      </w:r>
      <m:oMath>
        <m:r>
          <m:t>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反应液可循环利用</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以定量分析医用双氧水浓度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4</m:t>
          </m:r>
          <m:sSub>
            <m:e>
              <m:r>
                <m:rPr>
                  <m:sty m:val="p"/>
                </m:rPr>
                <m:t>O</m:t>
              </m:r>
            </m:e>
            <m:sub>
              <m:r>
                <m:t>2</m:t>
              </m:r>
            </m:sub>
          </m:sSub>
          <m:r>
            <m:rPr>
              <m:sty m:val="p"/>
            </m:rPr>
            <m:t>+</m:t>
          </m:r>
          <m:r>
            <m:t>6</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此方程式是否正确</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r>
          <m:t>C</m:t>
        </m:r>
        <m:r>
          <m:t>s</m:t>
        </m:r>
        <m:sSub>
          <m:e>
            <m:r>
              <m:t>B</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9</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10</m:t>
            </m:r>
          </m:sub>
        </m:sSub>
        <m:sSub>
          <m:e>
            <m: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s</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s</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用方程式拆开的方法</w:t>
      </w:r>
      <w:r>
        <w:rPr>
          <w:rFonts w:hint="eastAsia" w:ascii="Times New Roman" w:hAnsi="Times New Roman" w:eastAsia="Times New Roman" w:cs="Times New Roman"/>
        </w:rPr>
        <w:t>(</w:t>
      </w:r>
      <w:r>
        <w:rPr>
          <w:rFonts w:hint="eastAsia" w:ascii="Times New Roman" w:hAnsi="Times New Roman" w:eastAsia="FangSong" w:cs="Times New Roman"/>
        </w:rPr>
        <w:t>而不是待定系数法或其他方法</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4</m:t>
              </m:r>
            </m:sub>
          </m:sSub>
          <m:r>
            <m:rPr>
              <m:sty m:val="p"/>
            </m:rPr>
            <m:t>+</m:t>
          </m:r>
          <m:sSub>
            <m:e>
              <m:r>
                <m:rPr>
                  <m:sty m:val="p"/>
                </m:rPr>
                <m:t>P</m:t>
              </m:r>
            </m:e>
            <m:sub>
              <m:r>
                <m:t>2</m:t>
              </m:r>
            </m:sub>
          </m:sSub>
          <m:sSub>
            <m:e>
              <m:r>
                <m:rPr>
                  <m:sty m:val="p"/>
                </m:rPr>
                <m:t>I</m:t>
              </m:r>
            </m:e>
            <m:sub>
              <m:r>
                <m:t>4</m:t>
              </m:r>
            </m:sub>
          </m:sSub>
          <m:r>
            <m:rPr>
              <m:sty m:val="p"/>
            </m:rPr>
            <m:t>+</m:t>
          </m:r>
          <m:sSub>
            <m:e>
              <m:r>
                <m:rPr>
                  <m:sty m:val="p"/>
                </m:rPr>
                <m:t>H</m:t>
              </m:r>
            </m:e>
            <m:sub>
              <m:r>
                <m:t>2</m:t>
              </m:r>
            </m:sub>
          </m:sSub>
          <m:r>
            <m:rPr>
              <m:sty m:val="p"/>
            </m:rPr>
            <m:t>O</m:t>
          </m:r>
          <m:r>
            <m:rPr>
              <m:sty m:val="p"/>
            </m:rPr>
            <m:t>→</m:t>
          </m:r>
          <m:sSub>
            <m:e>
              <m:r>
                <m:rPr>
                  <m:sty m:val="p"/>
                </m:rPr>
                <m:t>P</m:t>
              </m:r>
              <m:r>
                <m:rPr>
                  <m:sty m:val="p"/>
                </m:rPr>
                <m:t>H</m:t>
              </m:r>
            </m:e>
            <m:sub>
              <m:r>
                <m:t>4</m:t>
              </m:r>
            </m:sub>
          </m:sSub>
          <m:r>
            <m:rPr>
              <m:sty m:val="p"/>
            </m:rPr>
            <m:t>I</m:t>
          </m:r>
          <m:r>
            <m:rPr>
              <m:sty m:val="p"/>
            </m:rPr>
            <m:t>+</m:t>
          </m:r>
          <m:sSub>
            <m:e>
              <m:r>
                <m:rPr>
                  <m:sty m:val="p"/>
                </m:rPr>
                <m:t>H</m:t>
              </m:r>
            </m:e>
            <m:sub>
              <m:r>
                <m:t>3</m:t>
              </m:r>
            </m:sub>
          </m:sSub>
          <m:sSub>
            <m:e>
              <m:r>
                <m:rPr>
                  <m:sty m:val="p"/>
                </m:rPr>
                <m:t>P</m:t>
              </m:r>
              <m:r>
                <m:rPr>
                  <m:sty m:val="p"/>
                </m:rPr>
                <m:t>O</m:t>
              </m:r>
            </m:e>
            <m:sub>
              <m:r>
                <m:t>4</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氯化银与硒单质在强碱溶液中长时间共煮发生反应</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End w:id="4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jpg"/><Relationship Id="rId9" Type="http://schemas.openxmlformats.org/officeDocument/2006/relationships/image" Target="media/rId9.png"/><Relationship Id="rId28" Type="http://schemas.openxmlformats.org/officeDocument/2006/relationships/image" Target="media/rId28.jpg"/><Relationship Id="rId34" Type="http://schemas.openxmlformats.org/officeDocument/2006/relationships/image" Target="media/rId34.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2026-09-18T16:35:34Z</dcterms:created>
  <dcterms:modified xsi:type="dcterms:W3CDTF">2026-09-18T16:35:34Z</dcterms:modified>
</cp:coreProperties>
</file>

<file path=docProps/custom.xml><?xml version="1.0" encoding="utf-8"?>
<Properties xmlns="http://schemas.openxmlformats.org/officeDocument/2006/custom-properties" xmlns:vt="http://schemas.openxmlformats.org/officeDocument/2006/docPropsVTypes"/>
</file>