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150–1000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的最优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结构中形式电荷为</w:t>
      </w:r>
      <w:r>
        <w:rPr>
          <w:rFonts w:ascii="Times New Roman" w:hAnsi="Times New Roman" w:eastAsia="Times New Roman" w:cs="Times New Roman"/>
        </w:rPr>
        <w:t xml:space="preserve"> C −1、O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的偶极矩也确实是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端为负</w:t>
      </w:r>
      <w:r>
        <w:rPr>
          <w:rFonts w:hint="eastAsia" w:ascii="Times New Roman" w:hAnsi="Times New Roman" w:eastAsia="Times New Roman" w:cs="Times New Roman"/>
        </w:rPr>
        <w:t xml:space="preserve">（μ</w:t>
      </w:r>
      <w:r>
        <w:rPr>
          <w:rFonts w:ascii="Times New Roman" w:hAnsi="Times New Roman" w:eastAsia="Times New Roman" w:cs="Times New Roman"/>
        </w:rPr>
        <w:t xml:space="preserve"> = 0.112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方向与电负性预期相反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此处形式电荷反而比电负性直觉更接近真实分布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§7.5）。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的未杂化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轨道贡献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各贡献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9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充分条件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只是充分条件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主轴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并没有对称中心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高对称同样使</w:t>
      </w:r>
      <w:r>
        <w:rPr>
          <w:rFonts w:ascii="Times New Roman" w:hAnsi="Times New Roman" w:eastAsia="Times New Roman" w:cs="Times New Roman"/>
        </w:rPr>
        <w:t xml:space="preserve"> μ=0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(107°) &gt; 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(102°) &gt;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&gt;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(100.3°)：</w:t>
      </w:r>
      <w:r>
        <w:rPr>
          <w:rFonts w:hint="eastAsia" w:ascii="Times New Roman" w:hAnsi="Times New Roman" w:eastAsia="FangSong" w:cs="Times New Roman"/>
        </w:rPr>
        <w:t>同族从</w:t>
      </w:r>
      <w:r>
        <w:rPr>
          <w:rFonts w:ascii="Times New Roman" w:hAnsi="Times New Roman" w:eastAsia="Times New Roman" w:cs="Times New Roman"/>
        </w:rPr>
        <w:t xml:space="preserve"> N→P </w:t>
      </w:r>
      <w:r>
        <w:rPr>
          <w:rFonts w:hint="eastAsia" w:ascii="Times New Roman" w:hAnsi="Times New Roman" w:eastAsia="FangSong" w:cs="Times New Roman"/>
        </w:rPr>
        <w:t>中心原子变大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成键对离核更远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孤对压缩相对更强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键角骤减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系列内配体电负性越小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键角略增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2026-09-21T03:16:34Z</dcterms:created>
  <dcterms:modified xsi:type="dcterms:W3CDTF">2026-09-21T03:16:34Z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