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FirstParagraph"/>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ody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ody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FirstParagraph"/>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命名与异构</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r>
              <w:rPr>
                <w:rFonts w:hint="eastAsia" w:ascii="Times New Roman" w:hAnsi="Times New Roman" w:eastAsia="Times New Roman" w:cs="Times New Roman"/>
              </w:rPr>
              <w:t>；</w:t>
            </w: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价键理论与晶体场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配位平衡与稳定常数</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r>
              <w:rPr>
                <w:rFonts w:hint="eastAsia" w:ascii="Times New Roman" w:hAnsi="Times New Roman" w:eastAsia="Times New Roman" w:cs="Times New Roman"/>
              </w:rPr>
              <w:t>；</w:t>
            </w: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羰基配合物与综合应用</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r>
              <w:rPr>
                <w:rFonts w:hint="eastAsia" w:ascii="Times New Roman" w:hAnsi="Times New Roman" w:eastAsia="Times New Roman" w:cs="Times New Roman"/>
              </w:rPr>
              <w:t>；</w:t>
            </w: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FirstParagraph"/>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配位化学反复回答的只有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ody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BodyText"/>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ody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ody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ody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r>
        <w:rPr>
          <w:rFonts w:hint="eastAsia" w:ascii="Times New Roman" w:hAnsi="Times New Roman" w:eastAsia="FangSong" w:cs="Times New Roman"/>
        </w:rPr>
        <w:t>螯合效应的热力学分析见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hint="eastAsia" w:ascii="Times New Roman" w:hAnsi="Times New Roman" w:eastAsia="FangSong" w:cs="Times New Roman"/>
        </w:rPr>
        <w:t xml:space="preserve">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MistakeBlock"/>
      </w:pPr>
      <w:r>
        <w:rPr>
          <w:rFonts w:hint="eastAsia" w:ascii="Times New Roman" w:hAnsi="Times New Roman" w:eastAsia="FangSong" w:cs="Times New Roman"/>
        </w:rPr>
        <w:t xml:space="preserve">四配位构型易错提醒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ody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配体顺序规则</w:t>
      </w:r>
    </w:p>
    <w:p>
      <w:pPr>
        <w:pStyle w:val="Compact"/>
        <w:numPr>
          <w:ilvl w:val="0"/>
          <w:numId w:val="1003"/>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3"/>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3"/>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3"/>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3"/>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4"/>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odyText"/>
        <w:spacing w:after="80"/>
      </w:pPr>
      <w:r>
        <w:rPr>
          <w:rFonts w:hint="eastAsia" w:ascii="Times New Roman" w:hAnsi="Times New Roman" w:eastAsia="FangSong" w:cs="Times New Roman"/>
          <w:b/>
          <w:bCs/>
        </w:rPr>
        <w:t xml:space="preserve">异构题不要一开始背分类表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odyText"/>
        <w:spacing w:before="120"/>
      </w:pPr>
      <w:r>
        <w:rPr>
          <w:rFonts w:hint="eastAsia" w:ascii="Times New Roman" w:hAnsi="Times New Roman" w:eastAsia="FangSong" w:cs="Times New Roman"/>
          <w:b/>
          <w:bCs/>
        </w:rPr>
        <w:t xml:space="preserve">配合物异构现象分类体系</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BodyText"/>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BodyText"/>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5"/>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5"/>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5"/>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ody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odyText"/>
      </w:pP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6"/>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BodyText"/>
        <w:spacing w:before="120"/>
      </w:pPr>
      <w:r>
        <w:rPr>
          <w:rFonts w:hint="eastAsia" w:ascii="Times New Roman" w:hAnsi="Times New Roman" w:eastAsia="FangSong" w:cs="Times New Roman"/>
          <w:b/>
          <w:bCs/>
        </w:rPr>
        <w:t xml:space="preserve">基本要点</w:t>
      </w:r>
    </w:p>
    <w:p>
      <w:pPr>
        <w:pStyle w:val="Body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7"/>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ody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ody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ody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自由离子</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轨道在八面体场中的分裂</w:t>
      </w:r>
      <w:r>
        <w:rPr>
          <w:rFonts w:hint="eastAsia" w:ascii="Times New Roman" w:hAnsi="Times New Roman" w:eastAsia="FangSong" w:cs="Times New Roman"/>
          <w:b w:val="0"/>
          <w:i w:val="0"/>
          <w:iCs/>
          <w:sz w:val="21"/>
        </w:rPr>
        <w:t>——eg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轨道组升高</w:t>
      </w:r>
      <w:r>
        <w:rPr>
          <w:rFonts w:hint="eastAsia" w:ascii="Times New Roman" w:hAnsi="Times New Roman" w:eastAsia="FangSong" w:cs="Times New Roman"/>
          <w:b w:val="0"/>
          <w:i w:val="0"/>
          <w:iCs/>
          <w:sz w:val="21"/>
        </w:rPr>
        <w:t>、t2g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轨道组降低</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以分裂能</w:t>
      </w:r>
      <w:r>
        <w:rPr>
          <w:rFonts w:ascii="Times New Roman" w:hAnsi="Times New Roman" w:eastAsia="FangSong" w:cs="Times New Roman"/>
          <w:b w:val="0"/>
          <w:i w:val="0"/>
          <w:iCs/>
          <w:sz w:val="21"/>
        </w:rPr>
        <w:t xml:space="preserve"> Dq </w:t>
      </w:r>
      <w:r>
        <w:rPr>
          <w:rFonts w:hint="eastAsia" w:ascii="Times New Roman" w:hAnsi="Times New Roman" w:eastAsia="FangSong" w:cs="Times New Roman"/>
          <w:b w:val="0"/>
          <w:i w:val="0"/>
          <w:iCs/>
          <w:sz w:val="21"/>
        </w:rPr>
        <w:t>十等份计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重心守恒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校勘注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原稿图注误作</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且与图内容不符</w:t>
      </w:r>
      <w:r>
        <w:rPr>
          <w:rFonts w:hint="eastAsia" w:ascii="Times New Roman" w:hAnsi="Times New Roman" w:eastAsia="FangSong" w:cs="Times New Roman"/>
          <w:b w:val="0"/>
          <w:i w:val="0"/>
          <w:iCs/>
          <w:sz w:val="21"/>
        </w:rPr>
        <w:t>，2026-09-21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勘正</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ody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odyText"/>
      </w:pPr>
      <w:r>
        <w:rPr>
          <w:rFonts w:ascii="Times New Roman" w:hAnsi="Times New Roman" w:eastAsia="Times New Roman" w:cs="Times New Roman"/>
        </w:rPr>
        <w:t>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（V</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的配合物格外稳定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BodyText"/>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20"/>
      </w:pPr>
      <w:r>
        <w:rPr>
          <w:rFonts w:hint="eastAsia" w:ascii="Times New Roman" w:hAnsi="Times New Roman" w:eastAsia="FangSong" w:cs="Times New Roman"/>
        </w:rPr>
        <w:t xml:space="preserve">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ody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w:t>
      </w:r>
      <m:oMath>
        <m:sSub>
          <m:e>
            <m:r>
              <m:t>d</m:t>
            </m:r>
          </m:e>
          <m:sub>
            <m:r>
              <m:t>z</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d-d </w:t>
      </w:r>
      <w:r>
        <w:rPr>
          <w:rFonts w:hint="eastAsia" w:ascii="Times New Roman" w:hAnsi="Times New Roman" w:eastAsia="FangSong" w:cs="Times New Roman"/>
          <w:b w:val="0"/>
          <w:i w:val="0"/>
          <w:iCs/>
          <w:sz w:val="21"/>
        </w:rPr>
        <w:t xml:space="preserve">跃迁示意</w:t>
      </w:r>
    </w:p>
    <w:p>
      <w:pPr>
        <w:pStyle w:val="Body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244</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BodyText"/>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ody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绿区边缘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观察色为紫红色</w:t>
      </w:r>
      <w:r>
        <w:rPr>
          <w:rFonts w:hint="eastAsia" w:ascii="Times New Roman" w:hAnsi="Times New Roman" w:eastAsia="Times New Roman" w:cs="Times New Roman"/>
        </w:rPr>
        <w:t>（</w:t>
      </w:r>
      <w:r>
        <w:rPr>
          <w:rFonts w:hint="eastAsia" w:ascii="Times New Roman" w:hAnsi="Times New Roman" w:eastAsia="FangSong" w:cs="Times New Roman"/>
        </w:rPr>
        <w:t>与上文</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实例一致</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可用来掩蔽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生成的血红色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则用于比色检测</w:t>
      </w:r>
      <w:r>
        <w:rPr>
          <w:rFonts w:hint="eastAsia" w:ascii="Times New Roman" w:hAnsi="Times New Roman" w:eastAsia="Times New Roman" w:cs="Times New Roman"/>
        </w:rPr>
        <w:t>——</w:t>
      </w:r>
      <w:r>
        <w:rPr>
          <w:rFonts w:hint="eastAsia" w:ascii="Times New Roman" w:hAnsi="Times New Roman" w:eastAsia="FangSong" w:cs="Times New Roman"/>
        </w:rPr>
        <w:t>用它检测靠的是颜色极其灵敏</w:t>
      </w:r>
      <w:r>
        <w:rPr>
          <w:rFonts w:hint="eastAsia" w:ascii="Times New Roman" w:hAnsi="Times New Roman" w:eastAsia="Times New Roman" w:cs="Times New Roman"/>
        </w:rPr>
        <w:t>，</w:t>
      </w:r>
      <w:r>
        <w:rPr>
          <w:rFonts w:hint="eastAsia" w:ascii="Times New Roman" w:hAnsi="Times New Roman" w:eastAsia="FangSong" w:cs="Times New Roman"/>
        </w:rPr>
        <w:t>而不是它在热力学上最稳定</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 xml:space="preserve">普鲁士蓝的晶体结构示意</w:t>
      </w:r>
    </w:p>
    <w:p>
      <w:pPr>
        <w:pStyle w:val="Compact"/>
        <w:numPr>
          <w:ilvl w:val="0"/>
          <w:numId w:val="1010"/>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0"/>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0"/>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0"/>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odyText"/>
        <w:spacing w:before="120"/>
      </w:pP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构型尤为惰性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某一价态被格外稳定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FirstParagraph"/>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BodyText"/>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pP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ody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FirstParagraph"/>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都要凑满</w:t>
      </w:r>
      <w:r>
        <w:rPr>
          <w:rFonts w:ascii="Times New Roman" w:hAnsi="Times New Roman" w:eastAsia="Times New Roman" w:cs="Times New Roman"/>
        </w:rPr>
        <w:t xml:space="preserve"> 18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共需</w:t>
      </w:r>
      <w:r>
        <w:rPr>
          <w:rFonts w:ascii="Times New Roman" w:hAnsi="Times New Roman" w:eastAsia="Times New Roman" w:cs="Times New Roman"/>
        </w:rPr>
        <w:t xml:space="preserve"> 72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差额</w:t>
      </w:r>
      <w:r>
        <w:rPr>
          <w:rFonts w:ascii="Times New Roman" w:hAnsi="Times New Roman" w:eastAsia="Times New Roman" w:cs="Times New Roman"/>
        </w:rPr>
        <w:t xml:space="preserve"> 12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Ir—Ir </w:t>
      </w:r>
      <w:r>
        <w:rPr>
          <w:rFonts w:hint="eastAsia" w:ascii="Times New Roman" w:hAnsi="Times New Roman" w:eastAsia="FangSong" w:cs="Times New Roman"/>
        </w:rPr>
        <w:t>键补足</w:t>
      </w:r>
      <w:r>
        <w:rPr>
          <w:rFonts w:hint="eastAsia" w:ascii="Times New Roman" w:hAnsi="Times New Roman" w:eastAsia="Times New Roman" w:cs="Times New Roman"/>
        </w:rPr>
        <w:t>——</w:t>
      </w:r>
      <w:r>
        <w:rPr>
          <w:rFonts w:hint="eastAsia" w:ascii="Times New Roman" w:hAnsi="Times New Roman" w:eastAsia="FangSong" w:cs="Times New Roman"/>
        </w:rPr>
        <w:t>每条金属键为其两端金属各计</w:t>
      </w:r>
      <w:r>
        <w:rPr>
          <w:rFonts w:ascii="Times New Roman" w:hAnsi="Times New Roman" w:eastAsia="Times New Roman" w:cs="Times New Roman"/>
        </w:rPr>
        <w:t xml:space="preserve"> 1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故共需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Ir—Ir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6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各成一条</w:t>
      </w:r>
      <w:r>
        <w:rPr>
          <w:rFonts w:hint="eastAsia" w:ascii="Times New Roman" w:hAnsi="Times New Roman" w:eastAsia="Times New Roman" w:cs="Times New Roman"/>
        </w:rPr>
        <w:t>。</w:t>
      </w:r>
      <w:r>
        <w:rPr>
          <w:rFonts w:hint="eastAsia" w:ascii="Times New Roman" w:hAnsi="Times New Roman" w:eastAsia="FangSong" w:cs="Times New Roman"/>
        </w:rPr>
        <w:t>核算</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的电子数</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3</m:t>
        </m:r>
        <m:r>
          <m:rPr>
            <m:sty m:val="p"/>
          </m:rPr>
          <m:t>×</m:t>
        </m:r>
        <m:r>
          <m:t>2</m:t>
        </m:r>
        <m:r>
          <m:t> </m:t>
        </m:r>
        <m:r>
          <m:rPr>
            <m:sty m:val="p"/>
          </m:rPr>
          <m:t>(</m:t>
        </m:r>
        <m:r>
          <m:rPr>
            <m:nor/>
            <m:sty m:val="p"/>
          </m:rPr>
          <m:t>端基 CO</m:t>
        </m:r>
        <m:r>
          <m:rPr>
            <m:sty m:val="p"/>
          </m:rPr>
          <m:t>)</m:t>
        </m:r>
        <m:r>
          <m:rPr>
            <m:sty m:val="p"/>
          </m:rPr>
          <m:t>+</m:t>
        </m:r>
        <m:r>
          <m:t>3</m:t>
        </m:r>
        <m:r>
          <m:t> </m:t>
        </m:r>
        <m:r>
          <m:rPr>
            <m:sty m:val="p"/>
          </m:rPr>
          <m:t>(</m:t>
        </m:r>
        <m:r>
          <m:rPr>
            <m:nor/>
            <m:sty m:val="p"/>
          </m:rPr>
          <m:t>Ir—Ir</m:t>
        </m:r>
        <m:r>
          <m:rPr>
            <m:sty m:val="p"/>
          </m:rPr>
          <m:t>)</m:t>
        </m:r>
        <m:r>
          <m:rPr>
            <m:sty m:val="p"/>
          </m:rPr>
          <m:t>=</m:t>
        </m:r>
        <m:r>
          <m:t>18</m:t>
        </m:r>
      </m:oMath>
      <w:r>
        <w:rPr>
          <w:rFonts w:ascii="Times New Roman" w:hAnsi="Times New Roman" w:eastAsia="Times New Roman" w:cs="Times New Roman"/>
        </w:rPr>
        <w:t xml:space="preserve">。</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FirstParagraph"/>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2"/>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2"/>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2"/>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2"/>
        </w:numPr>
      </w:pPr>
      <w:r>
        <w:rPr>
          <w:rFonts w:hint="eastAsia" w:ascii="Times New Roman" w:hAnsi="Times New Roman" w:eastAsia="FangSong" w:cs="Times New Roman"/>
        </w:rPr>
        <w:t xml:space="preserve">配合物异构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旋光异构</w:t>
      </w:r>
    </w:p>
    <w:p>
      <w:pPr>
        <w:pStyle w:val="Compact"/>
        <w:numPr>
          <w:ilvl w:val="0"/>
          <w:numId w:val="1012"/>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FirstParagraph"/>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ody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ody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6-题"/>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基础巩固</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更适合在基础判断已经熟练之后再做</w:t>
      </w:r>
      <w:r>
        <w:rPr>
          <w:rFonts w:hint="eastAsia" w:ascii="Times New Roman" w:hAnsi="Times New Roman" w:eastAsia="Times New Roman" w:cs="Times New Roman"/>
        </w:rPr>
        <w:t>，</w:t>
      </w:r>
      <w:r>
        <w:rPr>
          <w:rFonts w:hint="eastAsia" w:ascii="Times New Roman" w:hAnsi="Times New Roman" w:eastAsia="FangSong" w:cs="Times New Roman"/>
        </w:rPr>
        <w:t>不建议一开始就接触复杂综合题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5"/>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11-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6"/>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6"/>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6"/>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7"/>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8"/>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8"/>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1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19"/>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0"/>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FirstParagraph"/>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BodyText"/>
        <w:spacing w:after="80"/>
      </w:pPr>
      <w:r>
        <w:rPr>
          <w:rFonts w:hint="eastAsia" w:ascii="Times New Roman" w:hAnsi="Times New Roman" w:eastAsia="FangSong" w:cs="Times New Roman"/>
        </w:rPr>
        <w:t>以下六道例题的完整推导已随正文给出</w:t>
      </w:r>
      <w:r>
        <w:rPr>
          <w:rFonts w:hint="eastAsia" w:ascii="Times New Roman" w:hAnsi="Times New Roman" w:eastAsia="Times New Roman" w:cs="Times New Roman"/>
        </w:rPr>
        <w:t>，</w:t>
      </w:r>
      <w:r>
        <w:rPr>
          <w:rFonts w:hint="eastAsia" w:ascii="Times New Roman" w:hAnsi="Times New Roman" w:eastAsia="FangSong" w:cs="Times New Roman"/>
        </w:rPr>
        <w:t>此处只列结论与出处</w:t>
      </w:r>
      <w:r>
        <w:rPr>
          <w:rFonts w:hint="eastAsia" w:ascii="Times New Roman" w:hAnsi="Times New Roman" w:eastAsia="Times New Roman" w:cs="Times New Roman"/>
        </w:rPr>
        <w:t>，</w:t>
      </w:r>
      <w:r>
        <w:rPr>
          <w:rFonts w:hint="eastAsia" w:ascii="Times New Roman" w:hAnsi="Times New Roman" w:eastAsia="FangSong" w:cs="Times New Roman"/>
        </w:rPr>
        <w:t>便于做完题后快速回查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例题</w:t>
            </w:r>
          </w:p>
        </w:tc>
        <w:tc>
          <w:tcPr/>
          <w:p>
            <w:pPr>
              <w:pStyle w:val="Compact"/>
              <w:jc w:val="center"/>
            </w:pPr>
            <w:r>
              <w:rPr>
                <w:rFonts w:hint="eastAsia" w:ascii="Times New Roman" w:hAnsi="Times New Roman" w:eastAsia="SimHei" w:cs="Times New Roman"/>
                <w:b/>
              </w:rPr>
              <w:t xml:space="preserve">所在节</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完整推导</w:t>
            </w:r>
          </w:p>
        </w:tc>
      </w:tr>
      <w:tr>
        <w:tc>
          <w:tcPr/>
          <w:p>
            <w:pPr>
              <w:pStyle w:val="Compact"/>
              <w:jc w:val="center"/>
            </w:pPr>
            <w:r>
              <w:rPr>
                <w:rFonts w:hint="eastAsia" w:ascii="Times New Roman" w:hAnsi="Times New Roman" w:eastAsia="FangSong" w:cs="Times New Roman"/>
              </w:rPr>
              <w:t xml:space="preserve">例</w:t>
            </w:r>
            <w:r>
              <w:rPr>
                <w:rFonts w:ascii="Times New Roman" w:hAnsi="Times New Roman" w:eastAsia="Times New Roman" w:cs="Times New Roman"/>
              </w:rPr>
              <w:t xml:space="preserve"> 1 </w:t>
            </w:r>
            <w:r>
              <w:rPr>
                <w:rFonts w:hint="eastAsia" w:ascii="Times New Roman" w:hAnsi="Times New Roman" w:eastAsia="FangSong" w:cs="Times New Roman"/>
              </w:rPr>
              <w:t xml:space="preserve">命名与组成</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三例配位数均为</w:t>
            </w:r>
            <w:r>
              <w:rPr>
                <w:rFonts w:ascii="Times New Roman" w:hAnsi="Times New Roman" w:eastAsia="Times New Roman" w:cs="Times New Roman"/>
              </w:rPr>
              <w:t xml:space="preserve"> 6</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例</w:t>
            </w:r>
            <w:r>
              <w:rPr>
                <w:rFonts w:ascii="Times New Roman" w:hAnsi="Times New Roman" w:eastAsia="Times New Roman" w:cs="Times New Roman"/>
              </w:rPr>
              <w:t xml:space="preserve"> 2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ascii="Times New Roman" w:hAnsi="Times New Roman" w:eastAsia="Times New Roman" w:cs="Times New Roman"/>
              </w:rPr>
              <w:t xml:space="preserve">§2.2</w:t>
            </w:r>
          </w:p>
        </w:tc>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w:r>
              <w:rPr>
                <w:rFonts w:hint="eastAsia" w:ascii="Times New Roman" w:hAnsi="Times New Roman" w:eastAsia="FangSong" w:cs="Times New Roman"/>
              </w:rPr>
              <w:t xml:space="preserve">例</w:t>
            </w:r>
            <w:r>
              <w:rPr>
                <w:rFonts w:ascii="Times New Roman" w:hAnsi="Times New Roman" w:eastAsia="Times New Roman" w:cs="Times New Roman"/>
              </w:rPr>
              <w:t xml:space="preserve"> 3 EAN 18 </w:t>
            </w:r>
            <w:r>
              <w:rPr>
                <w:rFonts w:hint="eastAsia" w:ascii="Times New Roman" w:hAnsi="Times New Roman" w:eastAsia="FangSong" w:cs="Times New Roman"/>
              </w:rPr>
              <w:t xml:space="preserve">电子</w:t>
            </w:r>
          </w:p>
        </w:tc>
        <w:tc>
          <w:tcPr/>
          <w:p>
            <w:pPr>
              <w:pStyle w:val="Compact"/>
              <w:jc w:val="center"/>
            </w:pPr>
            <w:r>
              <w:rPr>
                <w:rFonts w:ascii="Times New Roman" w:hAnsi="Times New Roman" w:eastAsia="Times New Roman" w:cs="Times New Roman"/>
              </w:rPr>
              <w:t xml:space="preserve">§2.6</w:t>
            </w:r>
          </w:p>
        </w:tc>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w:r>
              <w:rPr>
                <w:rFonts w:hint="eastAsia" w:ascii="Times New Roman" w:hAnsi="Times New Roman" w:eastAsia="FangSong" w:cs="Times New Roman"/>
              </w:rPr>
              <w:t xml:space="preserve">例</w:t>
            </w:r>
            <w:r>
              <w:rPr>
                <w:rFonts w:ascii="Times New Roman" w:hAnsi="Times New Roman" w:eastAsia="Times New Roman" w:cs="Times New Roman"/>
              </w:rPr>
              <w:t xml:space="preserve"> 4 CFSE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 xml:space="preserve">§2.3</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m:t>
              </m:r>
              <m:r>
                <m:t>4</m:t>
              </m:r>
              <m:r>
                <m:t> </m:t>
              </m:r>
              <m:r>
                <m:rPr>
                  <m:sty m:val="p"/>
                </m:rPr>
                <m:t>D</m:t>
              </m:r>
              <m:r>
                <m:rPr>
                  <m:sty m:val="p"/>
                </m:rPr>
                <m:t>q</m:t>
              </m:r>
            </m:oMath>
            <w:r>
              <w:rPr>
                <w:rFonts w:hint="eastAsia"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m:t>
              </m:r>
              <m:r>
                <m:t>24</m:t>
              </m:r>
              <m:r>
                <m:t> </m:t>
              </m:r>
              <m:r>
                <m:rPr>
                  <m:sty m:val="p"/>
                </m:rPr>
                <m:t>D</m:t>
              </m:r>
              <m:r>
                <m:rPr>
                  <m:sty m:val="p"/>
                </m:rPr>
                <m:t>q</m:t>
              </m:r>
            </m:oMath>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hint="eastAsia" w:ascii="Times New Roman" w:hAnsi="Times New Roman" w:eastAsia="FangSong" w:cs="Times New Roman"/>
              </w:rPr>
              <w:t xml:space="preserve">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异构体枚举</w:t>
            </w:r>
          </w:p>
        </w:tc>
        <w:tc>
          <w:tcPr/>
          <w:p>
            <w:pPr>
              <w:pStyle w:val="Compact"/>
              <w:jc w:val="center"/>
            </w:pPr>
            <w:r>
              <w:rPr>
                <w:rFonts w:ascii="Times New Roman" w:hAnsi="Times New Roman" w:eastAsia="Times New Roman" w:cs="Times New Roman"/>
              </w:rPr>
              <w:t xml:space="preserve">§2.1</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对顺式对映体</w:t>
            </w:r>
          </w:p>
        </w:tc>
        <w:tc>
          <w:tcPr/>
          <w:p>
            <w:pPr>
              <w:pStyle w:val="Compact"/>
              <w:jc w:val="center"/>
            </w:pPr>
            <w:r>
              <w:rPr>
                <w:rFonts w:ascii="Times New Roman" w:hAnsi="Times New Roman" w:eastAsia="Times New Roman" w:cs="Times New Roman"/>
              </w:rPr>
              <w:t xml:space="preserve">§2.1</w:t>
            </w:r>
          </w:p>
        </w:tc>
      </w:tr>
      <w:tr>
        <w:tc>
          <w:tcPr/>
          <w:p>
            <w:pPr>
              <w:pStyle w:val="Compact"/>
              <w:jc w:val="center"/>
            </w:pPr>
            <w:r>
              <w:rPr>
                <w:rFonts w:hint="eastAsia" w:ascii="Times New Roman" w:hAnsi="Times New Roman" w:eastAsia="FangSong" w:cs="Times New Roman"/>
              </w:rPr>
              <w:t xml:space="preserve">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w:t>
            </w:r>
          </w:p>
        </w:tc>
        <w:tc>
          <w:tcPr/>
          <w:p>
            <w:pPr>
              <w:pStyle w:val="Compact"/>
              <w:jc w:val="center"/>
            </w:pPr>
            <w:r>
              <w:rPr>
                <w:rFonts w:ascii="Times New Roman" w:hAnsi="Times New Roman" w:eastAsia="Times New Roman" w:cs="Times New Roman"/>
              </w:rPr>
              <w:t xml:space="preserve">§2.3</w:t>
            </w:r>
          </w:p>
        </w:tc>
        <w:tc>
          <w:tcPr/>
          <w:p>
            <w:pPr>
              <w:pStyle w:val="Compact"/>
              <w:jc w:val="center"/>
            </w:pPr>
            <m:oMath>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m:oMath>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浅绿色</w:t>
            </w:r>
          </w:p>
        </w:tc>
        <w:tc>
          <w:tcPr/>
          <w:p>
            <w:pPr>
              <w:pStyle w:val="Compact"/>
              <w:jc w:val="center"/>
            </w:pPr>
            <w:r>
              <w:rPr>
                <w:rFonts w:ascii="Times New Roman" w:hAnsi="Times New Roman" w:eastAsia="Times New Roman" w:cs="Times New Roman"/>
              </w:rPr>
              <w:t xml:space="preserve">§2.3</w:t>
            </w:r>
          </w:p>
        </w:tc>
      </w:tr>
    </w:tbl>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四面体无几何异构现象</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本身抗磁性</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 </w:t>
      </w:r>
      <w:r>
        <w:rPr>
          <w:rFonts w:hint="eastAsia" w:ascii="Times New Roman" w:hAnsi="Times New Roman" w:eastAsia="FangSong" w:cs="Times New Roman"/>
        </w:rPr>
        <w:t>个未成对电子保留</w:t>
      </w:r>
      <w:r>
        <w:rPr>
          <w:rFonts w:hint="eastAsia" w:ascii="Times New Roman" w:hAnsi="Times New Roman" w:eastAsia="Times New Roman" w:cs="Times New Roman"/>
        </w:rPr>
        <w:t>，</w:t>
      </w:r>
      <w:r>
        <w:rPr>
          <w:rFonts w:hint="eastAsia" w:ascii="Times New Roman" w:hAnsi="Times New Roman" w:eastAsia="FangSong" w:cs="Times New Roman"/>
        </w:rPr>
        <w:t>因此整个配离子仍为顺磁性</w:t>
      </w:r>
      <w:r>
        <w:rPr>
          <w:rFonts w:hint="eastAsia" w:ascii="Times New Roman" w:hAnsi="Times New Roman" w:eastAsia="Times New Roman" w:cs="Times New Roman"/>
        </w:rPr>
        <w:t>（</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为</w:t>
      </w:r>
      <w:r>
        <w:rPr>
          <w:rFonts w:hint="eastAsia" w:ascii="Times New Roman" w:hAnsi="Times New Roman" w:eastAsia="FangSong" w:cs="Times New Roman"/>
          <w:b/>
          <w:bCs/>
        </w:rPr>
        <w:t>混合价态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Ru(III)（d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Ru(IV)（d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总氧化数</w:t>
      </w:r>
      <w:r>
        <w:rPr>
          <w:rFonts w:ascii="Times New Roman" w:hAnsi="Times New Roman" w:eastAsia="Times New Roman" w:cs="Times New Roman"/>
        </w:rPr>
        <w:t xml:space="preserve"> = +6+4 = </w:t>
      </w:r>
      <w:r>
        <w:rPr>
          <w:rFonts w:hint="eastAsia" w:ascii="Times New Roman" w:hAnsi="Times New Roman" w:eastAsia="Times New Roman" w:cs="Times New Roman"/>
        </w:rPr>
        <w:t>+10，</w:t>
      </w:r>
      <w:r>
        <w:rPr>
          <w:rFonts w:hint="eastAsia" w:ascii="Times New Roman" w:hAnsi="Times New Roman" w:eastAsia="FangSong" w:cs="Times New Roman"/>
        </w:rPr>
        <w:t>平均</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不可能全为</w:t>
      </w:r>
      <w:r>
        <w:rPr>
          <w:rFonts w:ascii="Times New Roman" w:hAnsi="Times New Roman" w:eastAsia="Times New Roman" w:cs="Times New Roman"/>
        </w:rPr>
        <w:t xml:space="preserve"> </w:t>
      </w:r>
      <w:r>
        <w:rPr>
          <w:rFonts w:hint="eastAsia" w:ascii="Times New Roman" w:hAnsi="Times New Roman" w:eastAsia="Times New Roman" w:cs="Times New Roman"/>
        </w:rPr>
        <w:t>Ru(III)；</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Ru(III)」</w:t>
      </w:r>
      <w:r>
        <w:rPr>
          <w:rFonts w:hint="eastAsia" w:ascii="Times New Roman" w:hAnsi="Times New Roman" w:eastAsia="FangSong" w:cs="Times New Roman"/>
        </w:rPr>
        <w:t>电荷不守恒</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4"/>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5"/>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5"/>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6"/>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6"/>
        </w:numPr>
      </w:pPr>
      <w:r>
        <w:rPr>
          <w:rFonts w:hint="eastAsia" w:ascii="Times New Roman" w:hAnsi="Times New Roman" w:eastAsia="FangSong" w:cs="Times New Roman"/>
        </w:rPr>
        <w:t xml:space="preserve">形成三个螯合五元环</w:t>
      </w:r>
    </w:p>
    <w:p>
      <w:pPr>
        <w:numPr>
          <w:ilvl w:val="0"/>
          <w:numId w:val="1027"/>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28"/>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28"/>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0"/>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0"/>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numPr>
          <w:ilvl w:val="0"/>
          <w:numId w:val="1031"/>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2"/>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2"/>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2"/>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3"/>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配位数由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35"/>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35"/>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36"/>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37"/>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37"/>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37"/>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37"/>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37"/>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37"/>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37"/>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37"/>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p>
      <w:pPr>
        <w:spacing w:before="160" w:after="80"/>
      </w:pPr>
      <w:r>
        <w:pict>
          <v:rect style="width:0;height:1.5pt" o:hralign="center" o:hrstd="t" o:hr="t"/>
        </w:pict>
      </w:r>
    </w:p>
    <w:bookmarkEnd w:id="97"/>
    <w:bookmarkStart w:id="98" w:name="本讲速查"/>
    <w:p>
      <w:pPr>
        <w:pStyle w:val="Heading2"/>
        <w:spacing w:after="120" w:before="280"/>
      </w:pP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公式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参考</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§14</w:t>
            </w:r>
          </w:p>
        </w:tc>
      </w:tr>
      <w:tr>
        <w:tc>
          <w:tcPr/>
          <w:p>
            <w:pPr>
              <w:pStyle w:val="Compact"/>
              <w:jc w:val="center"/>
            </w:pPr>
            <w:r>
              <w:rPr>
                <w:rFonts w:hint="eastAsia" w:ascii="Times New Roman" w:hAnsi="Times New Roman" w:eastAsia="FangSong" w:cs="Times New Roman"/>
              </w:rPr>
              <w:t xml:space="preserve">八面体场分裂</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 xml:space="preserve">；</w:t>
            </w:r>
            <m:oMath>
              <m:sSub>
                <m:e>
                  <m:r>
                    <m:t>e</m:t>
                  </m:r>
                </m:e>
                <m:sub>
                  <m:r>
                    <m:t>g</m:t>
                  </m:r>
                </m:sub>
              </m:sSub>
              <m:r>
                <m:t> </m:t>
              </m:r>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t> </m:t>
              </m:r>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Ch5 §5.3</w:t>
            </w:r>
          </w:p>
        </w:tc>
      </w:tr>
      <w:tr>
        <w:tc>
          <w:tcPr/>
          <w:p>
            <w:pPr>
              <w:pStyle w:val="Compact"/>
              <w:jc w:val="center"/>
            </w:pPr>
            <w:r>
              <w:rPr>
                <w:rFonts w:hint="eastAsia" w:ascii="Times New Roman" w:hAnsi="Times New Roman" w:eastAsia="FangSong" w:cs="Times New Roman"/>
              </w:rPr>
              <w:t xml:space="preserve">四面体场分裂</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相反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Ch5 §5.3</w:t>
            </w:r>
          </w:p>
        </w:tc>
      </w:tr>
      <w:tr>
        <w:tc>
          <w:tcPr/>
          <w:p>
            <w:pPr>
              <w:pStyle w:val="Compact"/>
              <w:jc w:val="center"/>
            </w:pPr>
            <w:r>
              <w:rPr>
                <w:rFonts w:hint="eastAsia" w:ascii="Times New Roman" w:hAnsi="Times New Roman" w:eastAsia="Times New Roman" w:cs="Times New Roman"/>
              </w:rPr>
              <w:t xml:space="preserve">CFSE（Oh）</w:t>
            </w:r>
          </w:p>
        </w:tc>
        <w:tc>
          <w:tcPr/>
          <w:p>
            <w:pPr>
              <w:pStyle w:val="Compact"/>
              <w:jc w:val="center"/>
            </w:pPr>
            <m:oMath>
              <m:r>
                <m:rPr>
                  <m:sty m:val="p"/>
                </m:rPr>
                <m:t>C</m:t>
              </m:r>
              <m:r>
                <m:rPr>
                  <m:sty m:val="p"/>
                </m:rPr>
                <m:t>F</m:t>
              </m:r>
              <m:r>
                <m:rPr>
                  <m:sty m:val="p"/>
                </m:rPr>
                <m:t>S</m:t>
              </m:r>
              <m:r>
                <m:rPr>
                  <m:sty m:val="p"/>
                </m:rPr>
                <m:t>E</m:t>
              </m:r>
              <m:r>
                <m:rPr>
                  <m:sty m:val="p"/>
                </m:rPr>
                <m:t>=</m:t>
              </m:r>
              <m:r>
                <m:rPr>
                  <m:sty m:val="p"/>
                </m:rPr>
                <m:t>−</m:t>
              </m:r>
              <m:r>
                <m:t>4</m:t>
              </m:r>
              <m:r>
                <m:t>n</m:t>
              </m:r>
              <m:r>
                <m:rPr>
                  <m:sty m:val="p"/>
                </m:rPr>
                <m:t>(</m:t>
              </m:r>
              <m:sSub>
                <m:e>
                  <m:r>
                    <m:t>t</m:t>
                  </m:r>
                </m:e>
                <m:sub>
                  <m:r>
                    <m:t>2</m:t>
                  </m:r>
                  <m:r>
                    <m:t>g</m:t>
                  </m:r>
                </m:sub>
              </m:sSub>
              <m:r>
                <m:rPr>
                  <m:sty m:val="p"/>
                </m:rPr>
                <m:t>)</m:t>
              </m:r>
              <m:r>
                <m:rPr>
                  <m:sty m:val="p"/>
                </m:rPr>
                <m:t>+</m:t>
              </m:r>
              <m:r>
                <m:t>6</m:t>
              </m:r>
              <m:r>
                <m:t>n</m:t>
              </m:r>
              <m:r>
                <m:rPr>
                  <m:sty m:val="p"/>
                </m:rPr>
                <m:t>(</m:t>
              </m:r>
              <m:sSub>
                <m:e>
                  <m:r>
                    <m:t>e</m:t>
                  </m:r>
                </m:e>
                <m:sub>
                  <m:r>
                    <m:t>g</m:t>
                  </m:r>
                </m:sub>
              </m:sSub>
              <m:r>
                <m:rPr>
                  <m:sty m:val="p"/>
                </m:rPr>
                <m:t>)</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额外成对再扣</w:t>
            </w:r>
            <w:r>
              <w:rPr>
                <w:rFonts w:ascii="Times New Roman" w:hAnsi="Times New Roman" w:eastAsia="Times New Roman" w:cs="Times New Roman"/>
              </w:rPr>
              <w:t xml:space="preserve"> </w:t>
            </w:r>
            <m:oMath>
              <m:r>
                <m:t>m</m:t>
              </m:r>
              <m:r>
                <m:t>P</m:t>
              </m:r>
            </m:oMath>
          </w:p>
        </w:tc>
        <w:tc>
          <w:tcPr/>
          <w:p>
            <w:pPr>
              <w:pStyle w:val="Compact"/>
              <w:jc w:val="center"/>
            </w:pP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宋天佑</w:t>
            </w:r>
            <w:r>
              <w:rPr>
                <w:rFonts w:hint="eastAsia" w:ascii="Times New Roman" w:hAnsi="Times New Roman" w:eastAsia="Times New Roman" w:cs="Times New Roman"/>
              </w:rPr>
              <w:t>）§9</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有选择</w:t>
            </w:r>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分裂能与波长</w:t>
            </w:r>
          </w:p>
        </w:tc>
        <w:tc>
          <w:tcPr/>
          <w:p>
            <w:pPr>
              <w:pStyle w:val="Compact"/>
              <w:jc w:val="center"/>
            </w:pPr>
            <m:oMath>
              <m:sSub>
                <m:e>
                  <m:r>
                    <m:rPr>
                      <m:sty m:val="p"/>
                    </m:rPr>
                    <m:t>Δ</m:t>
                  </m:r>
                </m:e>
                <m:sub>
                  <m:r>
                    <m:t>o</m:t>
                  </m:r>
                </m:sub>
              </m:sSub>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摩尔量再乘</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§14</w:t>
            </w:r>
          </w:p>
        </w:tc>
      </w:tr>
      <w:tr>
        <w:tc>
          <w:tcPr/>
          <w:p>
            <w:pPr>
              <w:pStyle w:val="Compact"/>
              <w:jc w:val="center"/>
            </w:pPr>
            <w:r>
              <w:rPr>
                <w:rFonts w:hint="eastAsia" w:ascii="Times New Roman" w:hAnsi="Times New Roman" w:eastAsia="FangSong" w:cs="Times New Roman"/>
              </w:rPr>
              <w:t xml:space="preserve">累积稳定常数</w:t>
            </w:r>
          </w:p>
        </w:tc>
        <w:tc>
          <w:tcPr/>
          <w:p>
            <w:pPr>
              <w:pStyle w:val="Compact"/>
              <w:jc w:val="center"/>
            </w:pPr>
            <m:oMath>
              <m:sSub>
                <m:e>
                  <m:r>
                    <m:t>β</m:t>
                  </m:r>
                </m:e>
                <m:sub>
                  <m:r>
                    <m:t>n</m:t>
                  </m:r>
                </m:sub>
              </m:sSub>
              <m:r>
                <m:rPr>
                  <m:sty m:val="p"/>
                </m:rPr>
                <m:t>=</m:t>
              </m:r>
              <m:sSub>
                <m:e>
                  <m:r>
                    <m:t>K</m:t>
                  </m:r>
                </m:e>
                <m:sub>
                  <m:r>
                    <m:t>1</m:t>
                  </m:r>
                </m:sub>
              </m:sSub>
              <m:sSub>
                <m:e>
                  <m:r>
                    <m:t>K</m:t>
                  </m:r>
                </m:e>
                <m:sub>
                  <m:r>
                    <m:t>2</m:t>
                  </m:r>
                </m:sub>
              </m:sSub>
              <m:r>
                <m:rPr>
                  <m:sty m:val="p"/>
                </m:rPr>
                <m:t>⋯</m:t>
              </m:r>
              <m:sSub>
                <m:e>
                  <m:r>
                    <m:t>K</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§14.6–14.7</w:t>
            </w:r>
          </w:p>
        </w:tc>
      </w:tr>
      <w:tr>
        <w:tc>
          <w:tcPr/>
          <w:p>
            <w:pPr>
              <w:pStyle w:val="Compact"/>
              <w:jc w:val="center"/>
            </w:pPr>
            <w:r>
              <w:rPr>
                <w:rFonts w:hint="eastAsia" w:ascii="Times New Roman" w:hAnsi="Times New Roman" w:eastAsia="FangSong" w:cs="Times New Roman"/>
              </w:rPr>
              <w:t xml:space="preserve">螯合效应</w:t>
            </w:r>
          </w:p>
        </w:tc>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6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p>
                <m:e>
                  <m:r>
                    <m:t>G</m:t>
                  </m:r>
                </m:e>
                <m:sup>
                  <m:r>
                    <m:rPr>
                      <m:sty m:val="p"/>
                    </m:rPr>
                    <m:t>⊖</m:t>
                  </m:r>
                </m:sup>
              </m:sSup>
              <m:r>
                <m:rPr>
                  <m:sty m:val="p"/>
                </m:rPr>
                <m:t>&lt;</m:t>
              </m:r>
              <m:r>
                <m:t>0</m:t>
              </m:r>
            </m:oMath>
          </w:p>
        </w:tc>
        <w:tc>
          <w:tcPr/>
          <w:p>
            <w:pPr>
              <w:pStyle w:val="Compact"/>
              <w:jc w:val="center"/>
            </w:pPr>
            <w:r>
              <w:rPr>
                <w:rFonts w:hint="eastAsia" w:ascii="Times New Roman" w:hAnsi="Times New Roman" w:eastAsia="FangSong" w:cs="Times New Roman"/>
              </w:rPr>
              <w:t xml:space="preserve">普化原理</w:t>
            </w:r>
            <w:r>
              <w:rPr>
                <w:rFonts w:ascii="Times New Roman" w:hAnsi="Times New Roman" w:eastAsia="Times New Roman" w:cs="Times New Roman"/>
              </w:rPr>
              <w:t xml:space="preserve"> §14.7</w:t>
            </w:r>
          </w:p>
        </w:tc>
      </w:tr>
      <w:tr>
        <w:tc>
          <w:tcPr/>
          <w:p>
            <w:pPr>
              <w:pStyle w:val="Compact"/>
              <w:jc w:val="center"/>
            </w:pPr>
            <w:r>
              <w:rPr>
                <w:rFonts w:hint="eastAsia" w:ascii="Times New Roman" w:hAnsi="Times New Roman" w:eastAsia="FangSong" w:cs="Times New Roman"/>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Ch5 §5.3</w:t>
            </w:r>
          </w:p>
        </w:tc>
      </w:tr>
      <w:tr>
        <w:tc>
          <w:tcPr/>
          <w:p>
            <w:pPr>
              <w:pStyle w:val="Compact"/>
              <w:jc w:val="center"/>
            </w:pPr>
            <w:r>
              <w:rPr>
                <w:rFonts w:ascii="Times New Roman" w:hAnsi="Times New Roman" w:eastAsia="Times New Roman" w:cs="Times New Roman"/>
              </w:rPr>
              <w:t xml:space="preserve">EAN / 18 </w:t>
            </w:r>
            <w:r>
              <w:rPr>
                <w:rFonts w:hint="eastAsia" w:ascii="Times New Roman" w:hAnsi="Times New Roman" w:eastAsia="FangSong" w:cs="Times New Roman"/>
              </w:rPr>
              <w:t xml:space="preserve">电子</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配体给电子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18；NO</w:t>
            </w:r>
            <w:r>
              <w:rPr>
                <w:rFonts w:ascii="Times New Roman" w:hAnsi="Times New Roman" w:eastAsia="Times New Roman" w:cs="Times New Roman"/>
              </w:rPr>
              <w:t xml:space="preserve"> </w:t>
            </w:r>
            <w:r>
              <w:rPr>
                <w:rFonts w:hint="eastAsia" w:ascii="Times New Roman" w:hAnsi="Times New Roman" w:eastAsia="FangSong" w:cs="Times New Roman"/>
              </w:rPr>
              <w:t xml:space="preserve">计</w:t>
            </w:r>
            <w:r>
              <w:rPr>
                <w:rFonts w:ascii="Times New Roman" w:hAnsi="Times New Roman" w:eastAsia="Times New Roman" w:cs="Times New Roman"/>
              </w:rPr>
              <w:t xml:space="preserve"> 3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c>
          <w:tcPr/>
          <w:p>
            <w:pPr>
              <w:pStyle w:val="Compact"/>
              <w:jc w:val="center"/>
            </w:pPr>
            <w:r>
              <w:rPr>
                <w:rFonts w:hint="eastAsia" w:ascii="Times New Roman" w:hAnsi="Times New Roman" w:eastAsia="FangSong" w:cs="Times New Roman"/>
              </w:rPr>
              <w:t xml:space="preserve">上中第二分册第六讲</w:t>
            </w:r>
          </w:p>
        </w:tc>
      </w:tr>
      <w:tr>
        <w:tc>
          <w:tcPr/>
          <w:p>
            <w:pPr>
              <w:pStyle w:val="Compact"/>
              <w:jc w:val="center"/>
            </w:pPr>
            <w:r>
              <w:rPr>
                <w:rFonts w:hint="eastAsia" w:ascii="Times New Roman" w:hAnsi="Times New Roman" w:eastAsia="FangSong" w:cs="Times New Roman"/>
              </w:rPr>
              <w:t xml:space="preserve">异构判断序</w:t>
            </w:r>
          </w:p>
        </w:tc>
        <w:tc>
          <w:tcPr/>
          <w:p>
            <w:pPr>
              <w:pStyle w:val="Compact"/>
              <w:jc w:val="center"/>
            </w:pPr>
            <w:r>
              <w:rPr>
                <w:rFonts w:hint="eastAsia" w:ascii="Times New Roman" w:hAnsi="Times New Roman" w:eastAsia="FangSong" w:cs="Times New Roman"/>
              </w:rPr>
              <w:t>先几何</w:t>
            </w:r>
            <w:r>
              <w:rPr>
                <w:rFonts w:hint="eastAsia" w:ascii="Times New Roman" w:hAnsi="Times New Roman" w:eastAsia="Times New Roman" w:cs="Times New Roman"/>
              </w:rPr>
              <w:t>（cis/trans、fac/mer），</w:t>
            </w:r>
            <w:r>
              <w:rPr>
                <w:rFonts w:hint="eastAsia" w:ascii="Times New Roman" w:hAnsi="Times New Roman" w:eastAsia="FangSong" w:cs="Times New Roman"/>
              </w:rPr>
              <w:t>再单独查手性</w:t>
            </w:r>
            <w:r>
              <w:rPr>
                <w:rFonts w:hint="eastAsia" w:ascii="Times New Roman" w:hAnsi="Times New Roman" w:eastAsia="Times New Roman" w:cs="Times New Roman"/>
              </w:rPr>
              <w:t>；</w:t>
            </w:r>
            <w:r>
              <w:rPr>
                <w:rFonts w:hint="eastAsia" w:ascii="Times New Roman" w:hAnsi="Times New Roman" w:eastAsia="FangSong" w:cs="Times New Roman"/>
              </w:rPr>
              <w:t>手性配合物用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r>
              <w:rPr>
                <w:rFonts w:hint="eastAsia" w:ascii="Times New Roman" w:hAnsi="Times New Roman" w:eastAsia="FangSong" w:cs="Times New Roman"/>
                <w:b/>
                <w:bCs/>
              </w:rPr>
              <w:t xml:space="preserve">不用</w:t>
            </w:r>
            <w:r>
              <w:rPr>
                <w:rFonts w:ascii="Times New Roman" w:hAnsi="Times New Roman" w:eastAsia="Times New Roman" w:cs="Times New Roman"/>
                <w:b/>
                <w:bCs/>
              </w:rPr>
              <w:t xml:space="preserve"> R/S</w:t>
            </w:r>
          </w:p>
        </w:tc>
        <w:tc>
          <w:tcPr/>
          <w:p>
            <w:pPr>
              <w:pStyle w:val="Compact"/>
              <w:jc w:val="center"/>
            </w:pPr>
            <w:r>
              <w:rPr>
                <w:rFonts w:hint="eastAsia" w:ascii="Times New Roman" w:hAnsi="Times New Roman" w:eastAsia="FangSong" w:cs="Times New Roman"/>
              </w:rPr>
              <w:t xml:space="preserve">上中第二分册第六讲</w:t>
            </w:r>
          </w:p>
        </w:tc>
      </w:tr>
    </w:tbl>
    <w:bookmarkEnd w:id="98"/>
    <w:bookmarkStart w:id="99" w:name="本讲小结"/>
    <w:p>
      <w:pPr>
        <w:pStyle w:val="Heading2"/>
        <w:spacing w:before="280" w:after="120"/>
      </w:pPr>
      <w:r>
        <w:rPr>
          <w:rFonts w:hint="eastAsia" w:ascii="Times New Roman" w:hAnsi="Times New Roman" w:eastAsia="SimHei" w:cs="Times New Roman"/>
        </w:rPr>
        <w:t xml:space="preserve">本讲小结</w:t>
      </w:r>
    </w:p>
    <w:p>
      <w:pPr>
        <w:pStyle w:val="FirstParagraph"/>
      </w:pPr>
      <w:r>
        <w:rPr>
          <w:rFonts w:hint="eastAsia" w:ascii="Times New Roman" w:hAnsi="Times New Roman" w:eastAsia="FangSong" w:cs="Times New Roman"/>
        </w:rPr>
        <w:t>本讲只走一条链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先拆清结构</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再判构型</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再数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最后才谈磁性</w:t>
      </w:r>
      <w:r>
        <w:rPr>
          <w:rFonts w:hint="eastAsia" w:ascii="Times New Roman" w:hAnsi="Times New Roman" w:eastAsia="Times New Roman" w:cs="Times New Roman"/>
          <w:b/>
          <w:bCs/>
        </w:rPr>
        <w:t>、</w:t>
      </w:r>
      <w:r>
        <w:rPr>
          <w:rFonts w:hint="eastAsia" w:ascii="Times New Roman" w:hAnsi="Times New Roman" w:eastAsia="FangSong" w:cs="Times New Roman"/>
          <w:b/>
          <w:bCs/>
        </w:rPr>
        <w:t>颜色和异构</w:t>
      </w:r>
      <w:r>
        <w:rPr>
          <w:rFonts w:hint="eastAsia" w:ascii="Times New Roman" w:hAnsi="Times New Roman" w:eastAsia="Times New Roman" w:cs="Times New Roman"/>
        </w:rPr>
        <w:t>。</w:t>
      </w:r>
      <w:r>
        <w:rPr>
          <w:rFonts w:hint="eastAsia" w:ascii="Times New Roman" w:hAnsi="Times New Roman" w:eastAsia="FangSong" w:cs="Times New Roman"/>
        </w:rPr>
        <w:t>前三步任一出错</w:t>
      </w:r>
      <w:r>
        <w:rPr>
          <w:rFonts w:hint="eastAsia" w:ascii="Times New Roman" w:hAnsi="Times New Roman" w:eastAsia="Times New Roman" w:cs="Times New Roman"/>
        </w:rPr>
        <w:t>，</w:t>
      </w:r>
      <w:r>
        <w:rPr>
          <w:rFonts w:hint="eastAsia" w:ascii="Times New Roman" w:hAnsi="Times New Roman" w:eastAsia="FangSong" w:cs="Times New Roman"/>
        </w:rPr>
        <w:t>后面都会连锁出错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第一节建立语言</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内界靠配位键</w:t>
      </w:r>
      <w:r>
        <w:rPr>
          <w:rFonts w:hint="eastAsia" w:ascii="Times New Roman" w:hAnsi="Times New Roman" w:eastAsia="Times New Roman" w:cs="Times New Roman"/>
        </w:rPr>
        <w:t>、</w:t>
      </w:r>
      <w:r>
        <w:rPr>
          <w:rFonts w:hint="eastAsia" w:ascii="Times New Roman" w:hAnsi="Times New Roman" w:eastAsia="FangSong" w:cs="Times New Roman"/>
        </w:rPr>
        <w:t>外界靠离子键</w:t>
      </w:r>
      <w:r>
        <w:rPr>
          <w:rFonts w:hint="eastAsia" w:ascii="Times New Roman" w:hAnsi="Times New Roman" w:eastAsia="Times New Roman" w:cs="Times New Roman"/>
        </w:rPr>
        <w:t>；</w:t>
      </w:r>
      <w:r>
        <w:rPr>
          <w:rFonts w:hint="eastAsia" w:ascii="Times New Roman" w:hAnsi="Times New Roman" w:eastAsia="FangSong" w:cs="Times New Roman"/>
        </w:rPr>
        <w:t>配位数不等于配体数</w:t>
      </w:r>
      <w:r>
        <w:rPr>
          <w:rFonts w:hint="eastAsia" w:ascii="Times New Roman" w:hAnsi="Times New Roman" w:eastAsia="Times New Roman" w:cs="Times New Roman"/>
        </w:rPr>
        <w:t>（</w:t>
      </w:r>
      <w:r>
        <w:rPr>
          <w:rFonts w:hint="eastAsia" w:ascii="Times New Roman" w:hAnsi="Times New Roman" w:eastAsia="FangSong" w:cs="Times New Roman"/>
        </w:rPr>
        <w:t>多齿配体要按齿数累加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命名要做到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r>
        <w:rPr>
          <w:rFonts w:hint="eastAsia" w:ascii="Times New Roman" w:hAnsi="Times New Roman" w:eastAsia="Times New Roman" w:cs="Times New Roman"/>
        </w:rPr>
        <w:t>，</w:t>
      </w:r>
      <w:r>
        <w:rPr>
          <w:rFonts w:hint="eastAsia" w:ascii="Times New Roman" w:hAnsi="Times New Roman" w:eastAsia="FangSong" w:cs="Times New Roman"/>
        </w:rPr>
        <w:t>氧化态靠外界离子配平</w:t>
      </w:r>
      <w:r>
        <w:rPr>
          <w:rFonts w:hint="eastAsia" w:ascii="Times New Roman" w:hAnsi="Times New Roman" w:eastAsia="Times New Roman" w:cs="Times New Roman"/>
        </w:rPr>
        <w:t>。</w:t>
      </w:r>
      <w:r>
        <w:rPr>
          <w:rFonts w:hint="eastAsia" w:ascii="Times New Roman" w:hAnsi="Times New Roman" w:eastAsia="FangSong" w:cs="Times New Roman"/>
        </w:rPr>
        <w:t>这里同时给出螯合效应的定性结论</w:t>
      </w:r>
      <w:r>
        <w:rPr>
          <w:rFonts w:hint="eastAsia" w:ascii="Times New Roman" w:hAnsi="Times New Roman" w:eastAsia="Times New Roman" w:cs="Times New Roman"/>
        </w:rPr>
        <w:t>——</w:t>
      </w:r>
      <w:r>
        <w:rPr>
          <w:rFonts w:hint="eastAsia" w:ascii="Times New Roman" w:hAnsi="Times New Roman" w:eastAsia="FangSong" w:cs="Times New Roman"/>
        </w:rPr>
        <w:t>多齿配体更稳定</w:t>
      </w:r>
      <w:r>
        <w:rPr>
          <w:rFonts w:hint="eastAsia" w:ascii="Times New Roman" w:hAnsi="Times New Roman" w:eastAsia="Times New Roman" w:cs="Times New Roman"/>
        </w:rPr>
        <w:t>，</w:t>
      </w:r>
      <w:r>
        <w:rPr>
          <w:rFonts w:hint="eastAsia" w:ascii="Times New Roman" w:hAnsi="Times New Roman" w:eastAsia="FangSong" w:cs="Times New Roman"/>
        </w:rPr>
        <w:t>根源是熵增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第二节给两套互补的模型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价键理论</w:t>
      </w:r>
      <w:r>
        <w:rPr>
          <w:rFonts w:hint="eastAsia" w:ascii="Times New Roman" w:hAnsi="Times New Roman" w:eastAsia="FangSong" w:cs="Times New Roman"/>
        </w:rPr>
        <w:t>用杂化轨道解释构型</w:t>
      </w:r>
      <w:r>
        <w:rPr>
          <w:rFonts w:hint="eastAsia" w:ascii="Times New Roman" w:hAnsi="Times New Roman" w:eastAsia="Times New Roman" w:cs="Times New Roman"/>
        </w:rPr>
        <w:t>，</w:t>
      </w:r>
      <w:r>
        <w:rPr>
          <w:rFonts w:hint="eastAsia" w:ascii="Times New Roman" w:hAnsi="Times New Roman" w:eastAsia="FangSong" w:cs="Times New Roman"/>
        </w:rPr>
        <w:t>并把配合物分为内轨型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与外轨型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r>
          <m:t>d</m:t>
        </m:r>
      </m:oMath>
      <w:r>
        <w:rPr>
          <w:rFonts w:hint="eastAsia" w:ascii="Times New Roman" w:hAnsi="Times New Roman" w:eastAsia="Times New Roman" w:cs="Times New Roman"/>
        </w:rPr>
        <w:t>，</w:t>
      </w:r>
      <w:r>
        <w:rPr>
          <w:rFonts w:hint="eastAsia" w:ascii="Times New Roman" w:hAnsi="Times New Roman" w:eastAsia="FangSong" w:cs="Times New Roman"/>
        </w:rPr>
        <w:t>不重排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判断依据是磁矩</w:t>
      </w:r>
      <w:r>
        <w:rPr>
          <w:rFonts w:hint="eastAsia" w:ascii="Times New Roman" w:hAnsi="Times New Roman" w:eastAsia="Times New Roman" w:cs="Times New Roman"/>
        </w:rPr>
        <w:t>；</w:t>
      </w:r>
      <w:r>
        <w:rPr>
          <w:rFonts w:hint="eastAsia" w:ascii="Times New Roman" w:hAnsi="Times New Roman" w:eastAsia="FangSong" w:cs="Times New Roman"/>
        </w:rPr>
        <w:t>它解释构型很直观</w:t>
      </w:r>
      <w:r>
        <w:rPr>
          <w:rFonts w:hint="eastAsia" w:ascii="Times New Roman" w:hAnsi="Times New Roman" w:eastAsia="Times New Roman" w:cs="Times New Roman"/>
        </w:rPr>
        <w:t>，</w:t>
      </w:r>
      <w:r>
        <w:rPr>
          <w:rFonts w:hint="eastAsia" w:ascii="Times New Roman" w:hAnsi="Times New Roman" w:eastAsia="FangSong" w:cs="Times New Roman"/>
        </w:rPr>
        <w:t>但预测不了颜色与分裂能大小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晶体场理论</w:t>
      </w:r>
      <w:r>
        <w:rPr>
          <w:rFonts w:hint="eastAsia" w:ascii="Times New Roman" w:hAnsi="Times New Roman" w:eastAsia="FangSong" w:cs="Times New Roman"/>
        </w:rPr>
        <w:t>把配体看作点电荷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轨道按</w:t>
      </w:r>
      <w:r>
        <w:rPr>
          <w:rFonts w:hint="eastAsia" w:ascii="Times New Roman" w:hAnsi="Times New Roman" w:eastAsia="Times New Roman" w:cs="Times New Roman"/>
        </w:rPr>
        <w:t>”</w:t>
      </w:r>
      <w:r>
        <w:rPr>
          <w:rFonts w:hint="eastAsia" w:ascii="Times New Roman" w:hAnsi="Times New Roman" w:eastAsia="FangSong" w:cs="Times New Roman"/>
        </w:rPr>
        <w:t>是否正对配体</w:t>
      </w:r>
      <w:r>
        <w:rPr>
          <w:rFonts w:hint="eastAsia" w:ascii="Times New Roman" w:hAnsi="Times New Roman" w:eastAsia="Times New Roman" w:cs="Times New Roman"/>
        </w:rPr>
        <w:t>”</w:t>
      </w:r>
      <w:r>
        <w:rPr>
          <w:rFonts w:hint="eastAsia" w:ascii="Times New Roman" w:hAnsi="Times New Roman" w:eastAsia="FangSong" w:cs="Times New Roman"/>
        </w:rPr>
        <w:t>分裂成两组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由此得到</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四面体场分裂与八面体相反且只有约</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平面正方形场分裂最大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二者层次不同</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r>
        <w:rPr>
          <w:rFonts w:hint="eastAsia" w:ascii="Times New Roman" w:hAnsi="Times New Roman" w:eastAsia="FangSong" w:cs="Times New Roman"/>
        </w:rPr>
        <w:t>外轨是价键语言</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低自旋是晶体场语言</w:t>
      </w:r>
      <w:r>
        <w:rPr>
          <w:rFonts w:hint="eastAsia" w:ascii="Times New Roman" w:hAnsi="Times New Roman" w:eastAsia="Times New Roman" w:cs="Times New Roman"/>
        </w:rPr>
        <w:t>，</w:t>
      </w:r>
      <w:r>
        <w:rPr>
          <w:rFonts w:hint="eastAsia" w:ascii="Times New Roman" w:hAnsi="Times New Roman" w:eastAsia="FangSong" w:cs="Times New Roman"/>
        </w:rPr>
        <w:t>多数体系对应但不可混为一谈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在此之上的三块应用</w:t>
      </w:r>
      <w:r>
        <w:rPr>
          <w:rFonts w:hint="eastAsia" w:ascii="Times New Roman" w:hAnsi="Times New Roman" w:eastAsia="Times New Roman" w:cs="Times New Roman"/>
        </w:rPr>
        <w:t>：</w:t>
      </w:r>
      <w:r>
        <w:rPr>
          <w:rFonts w:hint="eastAsia" w:ascii="Times New Roman" w:hAnsi="Times New Roman" w:eastAsia="FangSong" w:cs="Times New Roman"/>
        </w:rPr>
        <w:t>异构按</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w:t>
      </w:r>
      <w:r>
        <w:rPr>
          <w:rFonts w:ascii="Times New Roman" w:hAnsi="Times New Roman" w:eastAsia="Times New Roman" w:cs="Times New Roman"/>
        </w:rPr>
        <w:t xml:space="preserve"> → </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顺序排查</w:t>
      </w:r>
      <w:r>
        <w:rPr>
          <w:rFonts w:hint="eastAsia" w:ascii="Times New Roman" w:hAnsi="Times New Roman" w:eastAsia="Times New Roman" w:cs="Times New Roman"/>
        </w:rPr>
        <w:t>，</w:t>
      </w:r>
      <w:r>
        <w:rPr>
          <w:rFonts w:hint="eastAsia" w:ascii="Times New Roman" w:hAnsi="Times New Roman" w:eastAsia="FangSong" w:cs="Times New Roman"/>
        </w:rPr>
        <w:t>手性标记用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配位平衡用逐级与累积稳定常数处理</w:t>
      </w:r>
      <w:r>
        <w:rPr>
          <w:rFonts w:hint="eastAsia" w:ascii="Times New Roman" w:hAnsi="Times New Roman" w:eastAsia="Times New Roman" w:cs="Times New Roman"/>
        </w:rPr>
        <w:t>，</w:t>
      </w:r>
      <w:r>
        <w:rPr>
          <w:rFonts w:hint="eastAsia" w:ascii="Times New Roman" w:hAnsi="Times New Roman" w:eastAsia="FangSong" w:cs="Times New Roman"/>
        </w:rPr>
        <w:t>并与酸碱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氧化还原竞争</w:t>
      </w:r>
      <w:r>
        <w:rPr>
          <w:rFonts w:hint="eastAsia" w:ascii="Times New Roman" w:hAnsi="Times New Roman" w:eastAsia="Times New Roman" w:cs="Times New Roman"/>
        </w:rPr>
        <w:t>；EAN</w:t>
      </w:r>
      <w:r>
        <w:rPr>
          <w:rFonts w:ascii="Times New Roman" w:hAnsi="Times New Roman" w:eastAsia="Times New Roman" w:cs="Times New Roman"/>
        </w:rPr>
        <w:t xml:space="preserve"> 18 </w:t>
      </w:r>
      <w:r>
        <w:rPr>
          <w:rFonts w:hint="eastAsia" w:ascii="Times New Roman" w:hAnsi="Times New Roman" w:eastAsia="FangSong" w:cs="Times New Roman"/>
        </w:rPr>
        <w:t>电子规则是金属有机配合物的</w:t>
      </w:r>
      <w:r>
        <w:rPr>
          <w:rFonts w:hint="eastAsia" w:ascii="Times New Roman" w:hAnsi="Times New Roman" w:eastAsia="Times New Roman" w:cs="Times New Roman"/>
        </w:rPr>
        <w:t>”</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用来判稳定性与数</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两条需要记住的边界</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电子规则是必要不充分条件</w:t>
      </w:r>
      <w:r>
        <w:rPr>
          <w:rFonts w:hint="eastAsia" w:ascii="Times New Roman" w:hAnsi="Times New Roman" w:eastAsia="Times New Roman" w:cs="Times New Roman"/>
        </w:rPr>
        <w:t>；CFT</w:t>
      </w:r>
      <w:r>
        <w:rPr>
          <w:rFonts w:ascii="Times New Roman" w:hAnsi="Times New Roman" w:eastAsia="Times New Roman" w:cs="Times New Roman"/>
        </w:rPr>
        <w:t xml:space="preserve"> </w:t>
      </w:r>
      <w:r>
        <w:rPr>
          <w:rFonts w:hint="eastAsia" w:ascii="Times New Roman" w:hAnsi="Times New Roman" w:eastAsia="FangSong" w:cs="Times New Roman"/>
        </w:rPr>
        <w:t>是静电模型</w:t>
      </w:r>
      <w:r>
        <w:rPr>
          <w:rFonts w:hint="eastAsia" w:ascii="Times New Roman" w:hAnsi="Times New Roman" w:eastAsia="Times New Roman" w:cs="Times New Roman"/>
        </w:rPr>
        <w:t>，</w:t>
      </w:r>
      <w:r>
        <w:rPr>
          <w:rFonts w:hint="eastAsia" w:ascii="Times New Roman" w:hAnsi="Times New Roman" w:eastAsia="FangSong" w:cs="Times New Roman"/>
        </w:rPr>
        <w:t>解释不了光谱化学序列的来源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那要用配体场理论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留在后续轮次</w:t>
      </w:r>
      <w:r>
        <w:rPr>
          <w:rFonts w:hint="eastAsia" w:ascii="Times New Roman" w:hAnsi="Times New Roman" w:eastAsia="Times New Roman" w:cs="Times New Roman"/>
        </w:rPr>
        <w:t>。</w: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1"/>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2026-09-23T22:18:00Z</dcterms:created>
  <dcterms:modified xsi:type="dcterms:W3CDTF">2026-09-23T22:18:00Z</dcterms:modified>
</cp:coreProperties>
</file>

<file path=docProps/custom.xml><?xml version="1.0" encoding="utf-8"?>
<Properties xmlns="http://schemas.openxmlformats.org/officeDocument/2006/custom-properties" xmlns:vt="http://schemas.openxmlformats.org/officeDocument/2006/docPropsVTypes"/>
</file>