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先看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什么东西</w:t>
      </w:r>
      <w:r>
        <w:rPr>
          <w:rFonts w:hint="eastAsia" w:ascii="Times New Roman" w:hAnsi="Times New Roman" w:eastAsia="Times New Roman" w:cs="Times New Roman"/>
          <w:b/>
          <w:bCs/>
        </w:rPr>
        <w:t>」（</w:t>
      </w:r>
      <w:r>
        <w:rPr>
          <w:rFonts w:hint="eastAsia" w:ascii="Times New Roman" w:hAnsi="Times New Roman" w:eastAsia="FangSong" w:cs="Times New Roman"/>
          <w:b/>
          <w:bCs/>
        </w:rPr>
        <w:t>量纲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再看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多大</w:t>
      </w:r>
      <w:r>
        <w:rPr>
          <w:rFonts w:hint="eastAsia" w:ascii="Times New Roman" w:hAnsi="Times New Roman" w:eastAsia="Times New Roman" w:cs="Times New Roman"/>
          <w:b/>
          <w:bCs/>
        </w:rPr>
        <w:t>」（</w:t>
      </w:r>
      <w:r>
        <w:rPr>
          <w:rFonts w:hint="eastAsia" w:ascii="Times New Roman" w:hAnsi="Times New Roman" w:eastAsia="FangSong" w:cs="Times New Roman"/>
          <w:b/>
          <w:bCs/>
        </w:rPr>
        <w:t>数量级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最后才谈数字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是第一件武器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验公式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查漏项一秒见效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量纲分析三招</w:t>
      </w:r>
      <w:r>
        <w:rPr>
          <w:rFonts w:hint="eastAsia" w:ascii="Times New Roman" w:hAnsi="Times New Roman" w:eastAsia="FangSong" w:cs="Times New Roman"/>
        </w:rPr>
        <w:t>能从物理常识直接推出标度关系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估算四把斧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量纲不符与数量级离谱的选项先排除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4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2"/>
    <w:bookmarkStart w:id="5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2026-09-23T14:49:13Z</dcterms:created>
  <dcterms:modified xsi:type="dcterms:W3CDTF">2026-09-23T14:49:13Z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